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DEC7D">
      <w:pPr>
        <w:widowControl/>
        <w:jc w:val="left"/>
        <w:rPr>
          <w:rFonts w:ascii="Times New Roman" w:hAnsi="Times New Roman" w:cs="Times New Roman"/>
          <w:b/>
          <w:sz w:val="144"/>
          <w:szCs w:val="144"/>
        </w:rPr>
      </w:pPr>
      <w:r>
        <w:rPr>
          <w:rFonts w:ascii="Times New Roman" w:hAnsi="Times New Roman" w:cs="Times New Roman"/>
          <w:b/>
          <w:sz w:val="144"/>
          <w:szCs w:val="144"/>
        </w:rPr>
        <mc:AlternateContent>
          <mc:Choice Requires="wps">
            <w:drawing>
              <wp:anchor distT="45720" distB="45720" distL="114300" distR="114300" simplePos="0" relativeHeight="251663360" behindDoc="0" locked="0" layoutInCell="1" allowOverlap="1">
                <wp:simplePos x="0" y="0"/>
                <wp:positionH relativeFrom="margin">
                  <wp:posOffset>4704715</wp:posOffset>
                </wp:positionH>
                <wp:positionV relativeFrom="paragraph">
                  <wp:posOffset>-421005</wp:posOffset>
                </wp:positionV>
                <wp:extent cx="1114425" cy="809625"/>
                <wp:effectExtent l="0" t="0" r="3175" b="3175"/>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14425" cy="809625"/>
                        </a:xfrm>
                        <a:prstGeom prst="rect">
                          <a:avLst/>
                        </a:prstGeom>
                        <a:solidFill>
                          <a:srgbClr val="FFFFFF"/>
                        </a:solidFill>
                        <a:ln w="9525">
                          <a:noFill/>
                          <a:miter lim="800000"/>
                        </a:ln>
                        <a:effectLst/>
                      </wps:spPr>
                      <wps:txbx>
                        <w:txbxContent>
                          <w:p w14:paraId="3B611454">
                            <w:pPr>
                              <w:rPr>
                                <w:rFonts w:ascii="Times New Roman" w:hAnsi="Times New Roman" w:cs="Times New Roman"/>
                                <w:b/>
                                <w:sz w:val="96"/>
                                <w:szCs w:val="96"/>
                              </w:rPr>
                            </w:pPr>
                            <w:r>
                              <w:rPr>
                                <w:rFonts w:ascii="Times New Roman" w:hAnsi="Times New Roman" w:cs="Times New Roman"/>
                                <w:b/>
                                <w:sz w:val="96"/>
                                <w:szCs w:val="96"/>
                              </w:rPr>
                              <w:t>RB</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370.45pt;margin-top:-33.15pt;height:63.75pt;width:87.75pt;mso-position-horizontal-relative:margin;mso-wrap-distance-bottom:3.6pt;mso-wrap-distance-left:9pt;mso-wrap-distance-right:9pt;mso-wrap-distance-top:3.6pt;z-index:251663360;mso-width-relative:page;mso-height-relative:page;" fillcolor="#FFFFFF" filled="t" stroked="f" coordsize="21600,21600" o:gfxdata="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meCBb2AAAAAoBAAAPAAAAAAAAAAEAIAAAACIAAABkcnMv&#10;ZG93bnJldi54bWxQSwECFAAUAAAACACHTuJAR8F16TwCAABiBAAADgAAAAAAAAABACAAAAAnAQAA&#10;ZHJzL2Uyb0RvYy54bWxQSwUGAAAAAAYABgBZAQAA1QUAAAAA&#10;">
                <v:fill on="t" focussize="0,0"/>
                <v:stroke on="f" miterlimit="8" joinstyle="miter"/>
                <v:imagedata o:title=""/>
                <o:lock v:ext="edit" aspectratio="f"/>
                <v:textbox>
                  <w:txbxContent>
                    <w:p w14:paraId="3B611454">
                      <w:pPr>
                        <w:rPr>
                          <w:rFonts w:ascii="Times New Roman" w:hAnsi="Times New Roman" w:cs="Times New Roman"/>
                          <w:b/>
                          <w:sz w:val="96"/>
                          <w:szCs w:val="96"/>
                        </w:rPr>
                      </w:pPr>
                      <w:r>
                        <w:rPr>
                          <w:rFonts w:ascii="Times New Roman" w:hAnsi="Times New Roman" w:cs="Times New Roman"/>
                          <w:b/>
                          <w:sz w:val="96"/>
                          <w:szCs w:val="96"/>
                        </w:rPr>
                        <w:t>RB</w:t>
                      </w:r>
                    </w:p>
                  </w:txbxContent>
                </v:textbox>
                <w10:wrap type="square"/>
              </v:shape>
            </w:pict>
          </mc:Fallback>
        </mc:AlternateContent>
      </w:r>
      <w:r>
        <w:rPr>
          <w:rFonts w:ascii="宋体" w:hAnsi="Times New Roman" w:eastAsia="宋体" w:cs="Times New Roman"/>
          <w:kern w:val="0"/>
          <w:sz w:val="21"/>
          <w:szCs w:val="20"/>
        </w:rPr>
        <mc:AlternateContent>
          <mc:Choice Requires="wps">
            <w:drawing>
              <wp:anchor distT="0" distB="0" distL="114300" distR="114300" simplePos="0" relativeHeight="251660288" behindDoc="0" locked="0" layoutInCell="1" allowOverlap="1">
                <wp:simplePos x="0" y="0"/>
                <wp:positionH relativeFrom="page">
                  <wp:posOffset>916940</wp:posOffset>
                </wp:positionH>
                <wp:positionV relativeFrom="paragraph">
                  <wp:posOffset>1565910</wp:posOffset>
                </wp:positionV>
                <wp:extent cx="6120130" cy="0"/>
                <wp:effectExtent l="0" t="0" r="0" b="0"/>
                <wp:wrapNone/>
                <wp:docPr id="30" name="直接连接符 3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72.2pt;margin-top:123.3pt;height:0pt;width:481.9pt;mso-position-horizontal-relative:page;z-index:251660288;mso-width-relative:page;mso-height-relative:page;" filled="f" stroked="t" coordsize="21600,21600" o:gfxdata="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moTUa1wAAAAwBAAAPAAAAAAAAAAEAIAAAACIAAABkcnMvZG93bnJldi54bWxQSwECFAAUAAAA&#10;CACHTuJAvRCjPu8BAADFAwAADgAAAAAAAAABACAAAAAmAQAAZHJzL2Uyb0RvYy54bWxQSwUGAAAA&#10;AAYABgBZAQAAhwUAAAAA&#10;">
                <v:fill on="f" focussize="0,0"/>
                <v:stroke color="#000000" joinstyle="round"/>
                <v:imagedata o:title=""/>
                <o:lock v:ext="edit" aspectratio="f"/>
              </v:line>
            </w:pict>
          </mc:Fallback>
        </mc:AlternateContent>
      </w:r>
    </w:p>
    <w:p w14:paraId="360F5921">
      <w:pPr>
        <w:framePr w:hSpace="180" w:vSpace="180" w:wrap="around" w:vAnchor="margin" w:hAnchor="margin" w:y="1" w:anchorLock="1"/>
        <w:jc w:val="left"/>
        <w:textAlignment w:val="center"/>
        <w:rPr>
          <w:rFonts w:hint="default" w:ascii="黑体" w:hAnsi="黑体" w:eastAsia="黑体" w:cs="Times New Roman"/>
          <w:kern w:val="0"/>
          <w:sz w:val="21"/>
          <w:szCs w:val="21"/>
          <w:lang w:val="en-US" w:eastAsia="zh-CN"/>
        </w:rPr>
      </w:pPr>
      <w:r>
        <w:rPr>
          <w:rFonts w:ascii="Times New Roman" w:hAnsi="Times New Roman" w:eastAsia="黑体" w:cs="Times New Roman"/>
          <w:kern w:val="0"/>
          <w:sz w:val="21"/>
          <w:szCs w:val="21"/>
        </w:rPr>
        <w:t>I</w:t>
      </w:r>
      <w:r>
        <w:rPr>
          <w:rFonts w:ascii="黑体" w:hAnsi="黑体" w:eastAsia="黑体" w:cs="Times New Roman"/>
          <w:kern w:val="0"/>
          <w:sz w:val="21"/>
          <w:szCs w:val="21"/>
        </w:rPr>
        <w:t>CS </w:t>
      </w:r>
      <w:r>
        <w:rPr>
          <w:rFonts w:hint="eastAsia" w:ascii="黑体" w:hAnsi="黑体" w:eastAsia="黑体" w:cs="Times New Roman"/>
          <w:kern w:val="0"/>
          <w:sz w:val="21"/>
          <w:szCs w:val="21"/>
        </w:rPr>
        <w:t xml:space="preserve"> </w:t>
      </w:r>
      <w:r>
        <w:rPr>
          <w:rFonts w:hint="eastAsia" w:ascii="黑体" w:hAnsi="黑体" w:eastAsia="黑体" w:cs="Times New Roman"/>
          <w:kern w:val="0"/>
          <w:sz w:val="21"/>
          <w:szCs w:val="21"/>
          <w:lang w:val="en-US" w:eastAsia="zh-CN"/>
        </w:rPr>
        <w:t>XXXXXXX</w:t>
      </w:r>
    </w:p>
    <w:p w14:paraId="6D163129">
      <w:pPr>
        <w:framePr w:hSpace="180" w:vSpace="180" w:wrap="around" w:vAnchor="margin" w:hAnchor="margin" w:y="1" w:anchorLock="1"/>
        <w:jc w:val="left"/>
        <w:textAlignment w:val="center"/>
        <w:rPr>
          <w:rFonts w:ascii="黑体" w:hAnsi="黑体" w:eastAsia="黑体" w:cs="Times New Roman"/>
          <w:kern w:val="0"/>
          <w:sz w:val="21"/>
          <w:szCs w:val="21"/>
        </w:rPr>
      </w:pPr>
      <w:r>
        <w:rPr>
          <w:rFonts w:hint="eastAsia" w:ascii="黑体" w:hAnsi="黑体" w:eastAsia="黑体" w:cs="Times New Roman"/>
          <w:kern w:val="0"/>
          <w:sz w:val="21"/>
          <w:szCs w:val="21"/>
          <w:lang w:val="en-US" w:eastAsia="zh-CN"/>
        </w:rPr>
        <w:t>CSS</w:t>
      </w:r>
      <w:r>
        <w:rPr>
          <w:rFonts w:ascii="黑体" w:hAnsi="黑体" w:eastAsia="黑体" w:cs="Times New Roman"/>
          <w:kern w:val="0"/>
          <w:sz w:val="21"/>
          <w:szCs w:val="21"/>
        </w:rPr>
        <w:t xml:space="preserve"> </w:t>
      </w:r>
      <w:r>
        <w:rPr>
          <w:rFonts w:hint="eastAsia" w:ascii="黑体" w:hAnsi="黑体" w:eastAsia="黑体" w:cs="Times New Roman"/>
          <w:kern w:val="0"/>
          <w:sz w:val="21"/>
          <w:szCs w:val="21"/>
          <w:lang w:val="en-US" w:eastAsia="zh-CN"/>
        </w:rPr>
        <w:t>X XX</w:t>
      </w:r>
    </w:p>
    <w:p w14:paraId="083E34E9">
      <w:pPr>
        <w:framePr w:w="9639" w:h="624" w:hRule="exact" w:hSpace="181" w:vSpace="181" w:wrap="around" w:vAnchor="page" w:hAnchor="page" w:x="1419" w:y="2286" w:anchorLock="1"/>
        <w:kinsoku w:val="0"/>
        <w:overflowPunct w:val="0"/>
        <w:autoSpaceDE w:val="0"/>
        <w:autoSpaceDN w:val="0"/>
        <w:spacing w:line="0" w:lineRule="atLeast"/>
        <w:jc w:val="distribute"/>
        <w:rPr>
          <w:rFonts w:ascii="黑体" w:hAnsi="黑体" w:eastAsia="黑体" w:cs="Times New Roman"/>
          <w:b/>
          <w:bCs/>
          <w:spacing w:val="20"/>
          <w:w w:val="148"/>
          <w:kern w:val="0"/>
          <w:sz w:val="48"/>
          <w:szCs w:val="48"/>
        </w:rPr>
      </w:pPr>
      <w:r>
        <w:rPr>
          <w:rFonts w:hint="eastAsia" w:ascii="黑体" w:hAnsi="黑体" w:eastAsia="黑体" w:cs="Times New Roman"/>
          <w:sz w:val="48"/>
          <w:szCs w:val="48"/>
        </w:rPr>
        <w:t>中华人民共和国认证认可行业标准</w:t>
      </w:r>
    </w:p>
    <w:p w14:paraId="43DBB647">
      <w:pPr>
        <w:pStyle w:val="38"/>
        <w:framePr w:w="9140" w:h="841" w:hRule="exact" w:hSpace="284" w:wrap="around" w:vAnchor="page" w:hAnchor="page" w:x="1645" w:y="2910" w:anchorLock="1"/>
        <w:rPr>
          <w:rFonts w:hAnsi="黑体"/>
        </w:rPr>
      </w:pPr>
      <w:r>
        <w:rPr>
          <w:rFonts w:hAnsi="黑体"/>
        </w:rPr>
        <w:t>RB/T XXX—</w:t>
      </w:r>
      <w:bookmarkStart w:id="0" w:name="StdNo2"/>
      <w:r>
        <w:rPr>
          <w:rFonts w:hAnsi="黑体"/>
        </w:rPr>
        <w:t>202X</w:t>
      </w:r>
      <w:bookmarkEnd w:id="0"/>
    </w:p>
    <w:p w14:paraId="2CC477A3">
      <w:pPr>
        <w:framePr w:w="9140" w:h="841" w:hRule="exact" w:hSpace="284" w:wrap="around" w:vAnchor="page" w:hAnchor="page" w:x="1645" w:y="2910" w:anchorLock="1"/>
        <w:widowControl/>
        <w:spacing w:before="357" w:line="280" w:lineRule="exact"/>
        <w:ind w:right="280"/>
        <w:jc w:val="right"/>
        <w:rPr>
          <w:rFonts w:ascii="黑体" w:hAnsi="Times New Roman" w:eastAsia="黑体" w:cs="Times New Roman"/>
          <w:kern w:val="0"/>
          <w:szCs w:val="28"/>
        </w:rPr>
      </w:pPr>
    </w:p>
    <w:p w14:paraId="15C8D407">
      <w:pPr>
        <w:framePr w:w="9140" w:h="841" w:hRule="exact" w:hSpace="284" w:wrap="around" w:vAnchor="page" w:hAnchor="page" w:x="1645" w:y="2910" w:anchorLock="1"/>
        <w:widowControl/>
        <w:spacing w:before="357" w:line="280" w:lineRule="exact"/>
        <w:jc w:val="right"/>
        <w:rPr>
          <w:rFonts w:ascii="黑体" w:hAnsi="Times New Roman" w:eastAsia="黑体" w:cs="Times New Roman"/>
          <w:kern w:val="0"/>
          <w:szCs w:val="28"/>
        </w:rPr>
      </w:pPr>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5"/>
      </w:tblGrid>
      <w:tr w14:paraId="1659C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tcPr>
          <w:p w14:paraId="67E8F5EF">
            <w:pPr>
              <w:framePr w:w="9639" w:h="6917" w:hRule="exact" w:wrap="around" w:vAnchor="page" w:hAnchor="page" w:x="1381" w:y="5791" w:anchorLock="1"/>
              <w:spacing w:before="0" w:after="0" w:line="680" w:lineRule="exact"/>
              <w:jc w:val="center"/>
              <w:textAlignment w:val="center"/>
              <w:rPr>
                <w:rFonts w:hint="eastAsia" w:ascii="黑体" w:hAnsi="Times New Roman" w:eastAsia="黑体" w:cs="Times New Roman"/>
                <w:kern w:val="0"/>
                <w:sz w:val="52"/>
                <w:szCs w:val="20"/>
                <w:lang w:val="en-US" w:eastAsia="zh-CN"/>
              </w:rPr>
            </w:pPr>
            <w:r>
              <w:rPr>
                <w:rFonts w:hint="eastAsia" w:ascii="黑体" w:hAnsi="Times New Roman" w:eastAsia="黑体" w:cs="Times New Roman"/>
                <w:kern w:val="0"/>
                <w:sz w:val="52"/>
                <w:szCs w:val="20"/>
                <w:lang w:val="en-US" w:eastAsia="zh-CN"/>
              </w:rPr>
              <w:t>食品实验室数字化管理指南</w:t>
            </w:r>
          </w:p>
          <w:p w14:paraId="4A6EFFB8">
            <w:pPr>
              <w:framePr w:w="9639" w:h="6917" w:hRule="exact" w:wrap="around" w:vAnchor="page" w:hAnchor="page" w:x="1381" w:y="5791" w:anchorLock="1"/>
              <w:spacing w:before="0" w:after="0" w:line="680" w:lineRule="exact"/>
              <w:jc w:val="center"/>
              <w:textAlignment w:val="center"/>
              <w:rPr>
                <w:rFonts w:ascii="Times New Roman" w:hAnsi="Times New Roman" w:eastAsia="黑体" w:cs="Times New Roman"/>
                <w:kern w:val="0"/>
                <w:szCs w:val="28"/>
              </w:rPr>
            </w:pPr>
            <w:r>
              <w:rPr>
                <w:rFonts w:ascii="黑体" w:hAnsi="黑体" w:eastAsia="黑体" w:cs="Times New Roman"/>
                <w:kern w:val="0"/>
                <w:szCs w:val="28"/>
              </w:rPr>
              <w:t>Management guide</w:t>
            </w:r>
            <w:r>
              <w:rPr>
                <w:rFonts w:hint="eastAsia" w:ascii="黑体" w:hAnsi="黑体" w:eastAsia="黑体" w:cs="Times New Roman"/>
                <w:kern w:val="0"/>
                <w:szCs w:val="28"/>
              </w:rPr>
              <w:t>lines</w:t>
            </w:r>
            <w:r>
              <w:rPr>
                <w:rFonts w:ascii="黑体" w:hAnsi="黑体" w:eastAsia="黑体" w:cs="Times New Roman"/>
                <w:kern w:val="0"/>
                <w:szCs w:val="28"/>
              </w:rPr>
              <w:t xml:space="preserve"> </w:t>
            </w:r>
            <w:r>
              <w:rPr>
                <w:rFonts w:hint="eastAsia" w:ascii="黑体" w:hAnsi="黑体" w:eastAsia="黑体" w:cs="Times New Roman"/>
                <w:kern w:val="0"/>
                <w:szCs w:val="28"/>
                <w:lang w:val="en-US" w:eastAsia="zh-CN"/>
              </w:rPr>
              <w:t>for food laboratory digitization</w:t>
            </w:r>
          </w:p>
        </w:tc>
      </w:tr>
      <w:tr w14:paraId="09DD3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tcPr>
          <w:p w14:paraId="3C546429">
            <w:pPr>
              <w:framePr w:w="9639" w:h="6917" w:hRule="exact" w:wrap="around" w:vAnchor="page" w:hAnchor="page" w:x="1381" w:y="5791" w:anchorLock="1"/>
              <w:spacing w:before="180" w:after="160" w:line="180" w:lineRule="exact"/>
              <w:jc w:val="center"/>
              <w:textAlignment w:val="center"/>
              <w:rPr>
                <w:rFonts w:ascii="宋体" w:hAnsi="Times New Roman" w:eastAsia="宋体" w:cs="Times New Roman"/>
                <w:kern w:val="0"/>
                <w:sz w:val="21"/>
                <w:szCs w:val="28"/>
              </w:rPr>
            </w:pPr>
          </w:p>
        </w:tc>
      </w:tr>
    </w:tbl>
    <w:p w14:paraId="60DF6264">
      <w:pPr>
        <w:framePr w:w="3997" w:h="471" w:hRule="exact" w:vSpace="181" w:wrap="around" w:vAnchor="page" w:hAnchor="page" w:x="1419" w:y="14097" w:anchorLock="1"/>
        <w:widowControl/>
        <w:jc w:val="left"/>
        <w:rPr>
          <w:rFonts w:ascii="黑体" w:hAnsi="黑体" w:eastAsia="黑体" w:cs="Times New Roman"/>
          <w:kern w:val="0"/>
          <w:szCs w:val="20"/>
        </w:rPr>
      </w:pPr>
      <w:bookmarkStart w:id="1" w:name="FY"/>
      <w:r>
        <w:rPr>
          <w:rFonts w:ascii="黑体" w:hAnsi="黑体" w:eastAsia="黑体" w:cs="Times New Roman"/>
          <w:kern w:val="0"/>
          <w:szCs w:val="20"/>
        </w:rPr>
        <w:t>XXXX</w:t>
      </w:r>
      <w:bookmarkEnd w:id="1"/>
      <w:bookmarkStart w:id="2" w:name="FM"/>
      <w:r>
        <w:rPr>
          <w:rFonts w:ascii="黑体" w:hAnsi="黑体" w:eastAsia="黑体" w:cs="Times New Roman"/>
          <w:kern w:val="0"/>
          <w:szCs w:val="20"/>
        </w:rPr>
        <w:t>-XX</w:t>
      </w:r>
      <w:bookmarkEnd w:id="2"/>
      <w:r>
        <w:rPr>
          <w:rFonts w:ascii="黑体" w:hAnsi="黑体" w:eastAsia="黑体" w:cs="Times New Roman"/>
          <w:kern w:val="0"/>
          <w:szCs w:val="20"/>
        </w:rPr>
        <w:t>-</w:t>
      </w:r>
      <w:bookmarkStart w:id="3" w:name="FD"/>
      <w:r>
        <w:rPr>
          <w:rFonts w:ascii="黑体" w:hAnsi="黑体" w:eastAsia="黑体" w:cs="Times New Roman"/>
          <w:kern w:val="0"/>
          <w:szCs w:val="20"/>
        </w:rPr>
        <w:t>XX</w:t>
      </w:r>
      <w:bookmarkEnd w:id="3"/>
      <w:r>
        <w:rPr>
          <w:rFonts w:hint="eastAsia" w:ascii="黑体" w:hAnsi="黑体" w:eastAsia="黑体" w:cs="Times New Roman"/>
          <w:kern w:val="0"/>
          <w:szCs w:val="20"/>
        </w:rPr>
        <w:t>发布</w:t>
      </w:r>
      <w:r>
        <w:rPr>
          <w:rFonts w:ascii="黑体" w:hAnsi="黑体" w:eastAsia="黑体" w:cs="Times New Roman"/>
          <w:kern w:val="0"/>
          <w:szCs w:val="20"/>
        </w:rPr>
        <mc:AlternateContent>
          <mc:Choice Requires="wps">
            <w:drawing>
              <wp:anchor distT="0" distB="0" distL="114300" distR="114300" simplePos="0" relativeHeight="251659264" behindDoc="0" locked="1" layoutInCell="1" allowOverlap="1">
                <wp:simplePos x="0" y="0"/>
                <wp:positionH relativeFrom="column">
                  <wp:posOffset>-635</wp:posOffset>
                </wp:positionH>
                <wp:positionV relativeFrom="page">
                  <wp:posOffset>9251950</wp:posOffset>
                </wp:positionV>
                <wp:extent cx="6120130" cy="0"/>
                <wp:effectExtent l="0" t="0" r="0" b="0"/>
                <wp:wrapNone/>
                <wp:docPr id="33" name="直接连接符 33"/>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0.05pt;margin-top:728.5pt;height:0pt;width:481.9pt;mso-position-vertical-relative:page;z-index:251659264;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lh2s81gAAAAsBAAAPAAAAAAAAAAEAIAAAACIAAABkcnMvZG93bnJldi54bWxQSwECFAAUAAAA&#10;CACHTuJAqSTMhvABAADFAwAADgAAAAAAAAABACAAAAAlAQAAZHJzL2Uyb0RvYy54bWxQSwUGAAAA&#10;AAYABgBZAQAAhwUAAAAA&#10;">
                <v:fill on="f" focussize="0,0"/>
                <v:stroke color="#000000" joinstyle="round"/>
                <v:imagedata o:title=""/>
                <o:lock v:ext="edit" aspectratio="f"/>
                <w10:anchorlock/>
              </v:line>
            </w:pict>
          </mc:Fallback>
        </mc:AlternateContent>
      </w:r>
    </w:p>
    <w:p w14:paraId="08E23846">
      <w:pPr>
        <w:framePr w:w="3256" w:h="471" w:hRule="exact" w:vSpace="181" w:wrap="around" w:vAnchor="page" w:hAnchor="page" w:x="7606" w:y="14097" w:anchorLock="1"/>
        <w:widowControl/>
        <w:jc w:val="right"/>
        <w:rPr>
          <w:rFonts w:ascii="黑体" w:hAnsi="黑体" w:eastAsia="黑体" w:cs="Times New Roman"/>
          <w:kern w:val="0"/>
          <w:szCs w:val="20"/>
        </w:rPr>
      </w:pPr>
      <w:bookmarkStart w:id="4" w:name="SY"/>
      <w:r>
        <w:rPr>
          <w:rFonts w:ascii="黑体" w:hAnsi="黑体" w:eastAsia="黑体" w:cs="Times New Roman"/>
          <w:kern w:val="0"/>
          <w:szCs w:val="20"/>
        </w:rPr>
        <w:t>XXXX</w:t>
      </w:r>
      <w:bookmarkEnd w:id="4"/>
      <w:bookmarkStart w:id="5" w:name="SM"/>
      <w:r>
        <w:rPr>
          <w:rFonts w:ascii="黑体" w:hAnsi="黑体" w:eastAsia="黑体" w:cs="Times New Roman"/>
          <w:kern w:val="0"/>
          <w:szCs w:val="20"/>
        </w:rPr>
        <w:t>-XX</w:t>
      </w:r>
      <w:bookmarkEnd w:id="5"/>
      <w:r>
        <w:rPr>
          <w:rFonts w:ascii="黑体" w:hAnsi="黑体" w:eastAsia="黑体" w:cs="Times New Roman"/>
          <w:kern w:val="0"/>
          <w:szCs w:val="20"/>
        </w:rPr>
        <w:t>-</w:t>
      </w:r>
      <w:bookmarkStart w:id="6" w:name="SD"/>
      <w:r>
        <w:rPr>
          <w:rFonts w:ascii="黑体" w:hAnsi="黑体" w:eastAsia="黑体" w:cs="Times New Roman"/>
          <w:kern w:val="0"/>
          <w:szCs w:val="20"/>
        </w:rPr>
        <w:t>XX</w:t>
      </w:r>
      <w:bookmarkEnd w:id="6"/>
      <w:r>
        <w:rPr>
          <w:rFonts w:hint="eastAsia" w:ascii="黑体" w:hAnsi="黑体" w:eastAsia="黑体" w:cs="Times New Roman"/>
          <w:kern w:val="0"/>
          <w:szCs w:val="20"/>
        </w:rPr>
        <w:t>实施</w:t>
      </w:r>
    </w:p>
    <w:p w14:paraId="42083DFD">
      <w:pPr>
        <w:widowControl/>
        <w:tabs>
          <w:tab w:val="center" w:pos="4201"/>
          <w:tab w:val="right" w:leader="dot" w:pos="9298"/>
        </w:tabs>
        <w:autoSpaceDE w:val="0"/>
        <w:autoSpaceDN w:val="0"/>
        <w:rPr>
          <w:rFonts w:ascii="宋体" w:hAnsi="Times New Roman" w:eastAsia="宋体" w:cs="Times New Roman"/>
          <w:kern w:val="0"/>
          <w:sz w:val="21"/>
          <w:szCs w:val="20"/>
        </w:rPr>
        <w:sectPr>
          <w:headerReference r:id="rId3" w:type="default"/>
          <w:headerReference r:id="rId4" w:type="even"/>
          <w:pgSz w:w="11905" w:h="16838"/>
          <w:pgMar w:top="1417" w:right="1134" w:bottom="1417" w:left="1417" w:header="1417" w:footer="1134" w:gutter="0"/>
          <w:pgBorders>
            <w:top w:val="none" w:sz="0" w:space="0"/>
            <w:left w:val="none" w:sz="0" w:space="0"/>
            <w:bottom w:val="none" w:sz="0" w:space="0"/>
            <w:right w:val="none" w:sz="0" w:space="0"/>
          </w:pgBorders>
          <w:pgNumType w:fmt="upperRoman" w:start="1"/>
          <w:cols w:space="0" w:num="1"/>
          <w:titlePg/>
          <w:rtlGutter w:val="0"/>
          <w:docGrid w:type="linesAndChars" w:linePitch="389" w:charSpace="707"/>
        </w:sectPr>
      </w:pPr>
      <w:r>
        <w:rPr>
          <w:rFonts w:ascii="宋体" w:hAnsi="Times New Roman" w:cs="Times New Roman"/>
          <w:kern w:val="0"/>
          <w:sz w:val="21"/>
          <w:szCs w:val="20"/>
        </w:rPr>
        <mc:AlternateContent>
          <mc:Choice Requires="wps">
            <w:drawing>
              <wp:anchor distT="0" distB="0" distL="114300" distR="114300" simplePos="0" relativeHeight="251661312" behindDoc="0" locked="0" layoutInCell="1" allowOverlap="1">
                <wp:simplePos x="0" y="0"/>
                <wp:positionH relativeFrom="column">
                  <wp:posOffset>556895</wp:posOffset>
                </wp:positionH>
                <wp:positionV relativeFrom="paragraph">
                  <wp:posOffset>8143240</wp:posOffset>
                </wp:positionV>
                <wp:extent cx="4438650" cy="600075"/>
                <wp:effectExtent l="0" t="0" r="6350" b="9525"/>
                <wp:wrapNone/>
                <wp:docPr id="31" name="文本框 31"/>
                <wp:cNvGraphicFramePr/>
                <a:graphic xmlns:a="http://schemas.openxmlformats.org/drawingml/2006/main">
                  <a:graphicData uri="http://schemas.microsoft.com/office/word/2010/wordprocessingShape">
                    <wps:wsp>
                      <wps:cNvSpPr txBox="1">
                        <a:spLocks noChangeArrowheads="1"/>
                      </wps:cNvSpPr>
                      <wps:spPr bwMode="auto">
                        <a:xfrm>
                          <a:off x="0" y="0"/>
                          <a:ext cx="4438650" cy="600075"/>
                        </a:xfrm>
                        <a:prstGeom prst="rect">
                          <a:avLst/>
                        </a:prstGeom>
                        <a:solidFill>
                          <a:srgbClr val="FFFFFF"/>
                        </a:solidFill>
                        <a:ln>
                          <a:noFill/>
                        </a:ln>
                        <a:effectLst/>
                      </wps:spPr>
                      <wps:txbx>
                        <w:txbxContent>
                          <w:p w14:paraId="74CF0705">
                            <w:pPr>
                              <w:spacing w:line="0" w:lineRule="atLeast"/>
                              <w:jc w:val="distribute"/>
                              <w:rPr>
                                <w:rFonts w:ascii="黑体" w:hAnsi="黑体" w:eastAsia="黑体" w:cs="黑体"/>
                                <w:b/>
                                <w:szCs w:val="28"/>
                              </w:rPr>
                            </w:pPr>
                          </w:p>
                          <w:p w14:paraId="6B634C9A">
                            <w:pPr>
                              <w:spacing w:line="0" w:lineRule="atLeast"/>
                              <w:jc w:val="distribute"/>
                              <w:rPr>
                                <w:rFonts w:ascii="黑体" w:hAnsi="黑体" w:eastAsia="黑体" w:cs="黑体"/>
                                <w:b/>
                                <w:szCs w:val="28"/>
                              </w:rPr>
                            </w:pPr>
                            <w:r>
                              <w:rPr>
                                <w:rFonts w:hint="eastAsia" w:ascii="黑体" w:hAnsi="黑体" w:eastAsia="黑体" w:cs="黑体"/>
                                <w:b/>
                                <w:szCs w:val="28"/>
                              </w:rPr>
                              <w:t>中国国家认证认可监督管理委员会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3.85pt;margin-top:641.2pt;height:47.25pt;width:349.5pt;z-index:251661312;mso-width-relative:page;mso-height-relative:page;" fillcolor="#FFFFFF" filled="t" stroked="f" coordsize="21600,21600" o:gfxdata="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b7jpHYAAAADAEAAA8AAAAAAAAAAQAgAAAAIgAAAGRycy9kb3ducmV2Lnht&#10;bFBLAQIUABQAAAAIAIdO4kDEYHnvMgIAAE4EAAAOAAAAAAAAAAEAIAAAACcBAABkcnMvZTJvRG9j&#10;LnhtbFBLBQYAAAAABgAGAFkBAADLBQAAAAA=&#10;">
                <v:fill on="t" focussize="0,0"/>
                <v:stroke on="f"/>
                <v:imagedata o:title=""/>
                <o:lock v:ext="edit" aspectratio="f"/>
                <v:textbox>
                  <w:txbxContent>
                    <w:p w14:paraId="74CF0705">
                      <w:pPr>
                        <w:spacing w:line="0" w:lineRule="atLeast"/>
                        <w:jc w:val="distribute"/>
                        <w:rPr>
                          <w:rFonts w:ascii="黑体" w:hAnsi="黑体" w:eastAsia="黑体" w:cs="黑体"/>
                          <w:b/>
                          <w:szCs w:val="28"/>
                        </w:rPr>
                      </w:pPr>
                    </w:p>
                    <w:p w14:paraId="6B634C9A">
                      <w:pPr>
                        <w:spacing w:line="0" w:lineRule="atLeast"/>
                        <w:jc w:val="distribute"/>
                        <w:rPr>
                          <w:rFonts w:ascii="黑体" w:hAnsi="黑体" w:eastAsia="黑体" w:cs="黑体"/>
                          <w:b/>
                          <w:szCs w:val="28"/>
                        </w:rPr>
                      </w:pPr>
                      <w:r>
                        <w:rPr>
                          <w:rFonts w:hint="eastAsia" w:ascii="黑体" w:hAnsi="黑体" w:eastAsia="黑体" w:cs="黑体"/>
                          <w:b/>
                          <w:szCs w:val="28"/>
                        </w:rPr>
                        <w:t>中国国家认证认可监督管理委员会</w:t>
                      </w:r>
                    </w:p>
                  </w:txbxContent>
                </v:textbox>
              </v:shape>
            </w:pict>
          </mc:Fallback>
        </mc:AlternateContent>
      </w:r>
      <w:r>
        <w:rPr>
          <w:rFonts w:ascii="宋体" w:hAnsi="Times New Roman" w:cs="Times New Roman"/>
          <w:kern w:val="0"/>
          <w:sz w:val="21"/>
          <w:szCs w:val="20"/>
        </w:rPr>
        <mc:AlternateContent>
          <mc:Choice Requires="wps">
            <w:drawing>
              <wp:anchor distT="0" distB="0" distL="114300" distR="114300" simplePos="0" relativeHeight="251662336" behindDoc="0" locked="1" layoutInCell="1" allowOverlap="1">
                <wp:simplePos x="0" y="0"/>
                <wp:positionH relativeFrom="margin">
                  <wp:posOffset>5715</wp:posOffset>
                </wp:positionH>
                <wp:positionV relativeFrom="margin">
                  <wp:posOffset>8517890</wp:posOffset>
                </wp:positionV>
                <wp:extent cx="5767705" cy="458470"/>
                <wp:effectExtent l="0" t="0" r="10795" b="11430"/>
                <wp:wrapNone/>
                <wp:docPr id="32" name="文本框 32"/>
                <wp:cNvGraphicFramePr/>
                <a:graphic xmlns:a="http://schemas.openxmlformats.org/drawingml/2006/main">
                  <a:graphicData uri="http://schemas.microsoft.com/office/word/2010/wordprocessingShape">
                    <wps:wsp>
                      <wps:cNvSpPr txBox="1">
                        <a:spLocks noChangeArrowheads="1"/>
                      </wps:cNvSpPr>
                      <wps:spPr bwMode="auto">
                        <a:xfrm>
                          <a:off x="0" y="0"/>
                          <a:ext cx="5767705" cy="458470"/>
                        </a:xfrm>
                        <a:prstGeom prst="rect">
                          <a:avLst/>
                        </a:prstGeom>
                        <a:solidFill>
                          <a:srgbClr val="FFFFFF"/>
                        </a:solidFill>
                        <a:ln>
                          <a:noFill/>
                        </a:ln>
                        <a:effectLst/>
                      </wps:spPr>
                      <wps:txbx>
                        <w:txbxContent>
                          <w:p w14:paraId="3CA2DD8B">
                            <w:pPr>
                              <w:pStyle w:val="34"/>
                              <w:rPr>
                                <w:b w:val="0"/>
                              </w:rPr>
                            </w:pPr>
                            <w:r>
                              <w:rPr>
                                <w:rStyle w:val="33"/>
                                <w:rFonts w:hint="eastAsia"/>
                                <w:b w:val="0"/>
                                <w:spacing w:val="0"/>
                                <w:position w:val="2"/>
                              </w:rPr>
                              <w:t>国家</w:t>
                            </w:r>
                            <w:r>
                              <w:rPr>
                                <w:rStyle w:val="33"/>
                                <w:b w:val="0"/>
                                <w:spacing w:val="0"/>
                                <w:position w:val="2"/>
                              </w:rPr>
                              <w:t>认证认可</w:t>
                            </w:r>
                            <w:r>
                              <w:rPr>
                                <w:rStyle w:val="33"/>
                                <w:rFonts w:hint="eastAsia"/>
                                <w:b w:val="0"/>
                                <w:spacing w:val="0"/>
                                <w:position w:val="2"/>
                              </w:rPr>
                              <w:t>监督</w:t>
                            </w:r>
                            <w:r>
                              <w:rPr>
                                <w:rStyle w:val="33"/>
                                <w:b w:val="0"/>
                                <w:spacing w:val="0"/>
                                <w:position w:val="2"/>
                              </w:rPr>
                              <w:t>管理委员会</w:t>
                            </w:r>
                            <w:r>
                              <w:rPr>
                                <w:rStyle w:val="33"/>
                                <w:rFonts w:hint="eastAsia" w:eastAsia="黑体"/>
                                <w:b w:val="0"/>
                                <w:spacing w:val="0"/>
                                <w:position w:val="2"/>
                                <w:lang w:val="en-US" w:eastAsia="zh-CN"/>
                              </w:rPr>
                              <w:t xml:space="preserve">   </w:t>
                            </w:r>
                            <w:r>
                              <w:rPr>
                                <w:rStyle w:val="33"/>
                                <w:rFonts w:hint="eastAsia"/>
                                <w:b w:val="0"/>
                              </w:rPr>
                              <w:t>发布</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0.45pt;margin-top:670.7pt;height:36.1pt;width:454.15pt;mso-position-horizontal-relative:margin;mso-position-vertical-relative:margin;z-index:251662336;mso-width-relative:page;mso-height-relative:page;" fillcolor="#FFFFFF" filled="t" stroked="f" coordsize="21600,21600" o:gfxdata="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sUVWh2QAAAAoBAAAPAAAAAAAAAAEAIAAAACIAAABkcnMvZG93bnJldi54bWxQSwECFAAU&#10;AAAACACHTuJAsnV4cCkCAAA+BAAADgAAAAAAAAABACAAAAAoAQAAZHJzL2Uyb0RvYy54bWxQSwUG&#10;AAAAAAYABgBZAQAAwwUAAAAA&#10;">
                <v:fill on="t" focussize="0,0"/>
                <v:stroke on="f"/>
                <v:imagedata o:title=""/>
                <o:lock v:ext="edit" aspectratio="f"/>
                <v:textbox inset="0mm,0mm,0mm,0mm">
                  <w:txbxContent>
                    <w:p w14:paraId="3CA2DD8B">
                      <w:pPr>
                        <w:pStyle w:val="34"/>
                        <w:rPr>
                          <w:b w:val="0"/>
                        </w:rPr>
                      </w:pPr>
                      <w:r>
                        <w:rPr>
                          <w:rStyle w:val="33"/>
                          <w:rFonts w:hint="eastAsia"/>
                          <w:b w:val="0"/>
                          <w:spacing w:val="0"/>
                          <w:position w:val="2"/>
                        </w:rPr>
                        <w:t>国家</w:t>
                      </w:r>
                      <w:r>
                        <w:rPr>
                          <w:rStyle w:val="33"/>
                          <w:b w:val="0"/>
                          <w:spacing w:val="0"/>
                          <w:position w:val="2"/>
                        </w:rPr>
                        <w:t>认证认可</w:t>
                      </w:r>
                      <w:r>
                        <w:rPr>
                          <w:rStyle w:val="33"/>
                          <w:rFonts w:hint="eastAsia"/>
                          <w:b w:val="0"/>
                          <w:spacing w:val="0"/>
                          <w:position w:val="2"/>
                        </w:rPr>
                        <w:t>监督</w:t>
                      </w:r>
                      <w:r>
                        <w:rPr>
                          <w:rStyle w:val="33"/>
                          <w:b w:val="0"/>
                          <w:spacing w:val="0"/>
                          <w:position w:val="2"/>
                        </w:rPr>
                        <w:t>管理委员会</w:t>
                      </w:r>
                      <w:r>
                        <w:rPr>
                          <w:rStyle w:val="33"/>
                          <w:rFonts w:hint="eastAsia" w:eastAsia="黑体"/>
                          <w:b w:val="0"/>
                          <w:spacing w:val="0"/>
                          <w:position w:val="2"/>
                          <w:lang w:val="en-US" w:eastAsia="zh-CN"/>
                        </w:rPr>
                        <w:t xml:space="preserve">   </w:t>
                      </w:r>
                      <w:r>
                        <w:rPr>
                          <w:rStyle w:val="33"/>
                          <w:rFonts w:hint="eastAsia"/>
                          <w:b w:val="0"/>
                        </w:rPr>
                        <w:t>发布</w:t>
                      </w:r>
                    </w:p>
                  </w:txbxContent>
                </v:textbox>
                <w10:anchorlock/>
              </v:shape>
            </w:pict>
          </mc:Fallback>
        </mc:AlternateContent>
      </w:r>
    </w:p>
    <w:p w14:paraId="62933A23">
      <w:pPr>
        <w:pStyle w:val="16"/>
        <w:tabs>
          <w:tab w:val="right" w:leader="dot" w:pos="8296"/>
        </w:tabs>
        <w:jc w:val="center"/>
        <w:rPr>
          <w:rFonts w:ascii="黑体" w:hAnsi="黑体" w:eastAsia="黑体" w:cs="Times New Roman"/>
          <w:b w:val="0"/>
          <w:sz w:val="32"/>
          <w:szCs w:val="32"/>
        </w:rPr>
      </w:pPr>
      <w:r>
        <w:rPr>
          <w:rFonts w:hint="eastAsia" w:ascii="黑体" w:hAnsi="黑体" w:eastAsia="黑体" w:cs="Times New Roman"/>
          <w:b w:val="0"/>
          <w:sz w:val="32"/>
          <w:szCs w:val="32"/>
        </w:rPr>
        <w:t>目</w:t>
      </w:r>
      <w:r>
        <w:rPr>
          <w:rFonts w:ascii="黑体" w:hAnsi="黑体" w:eastAsia="黑体" w:cs="Times New Roman"/>
          <w:b w:val="0"/>
          <w:sz w:val="32"/>
          <w:szCs w:val="32"/>
        </w:rPr>
        <w:t xml:space="preserve">  </w:t>
      </w:r>
      <w:r>
        <w:rPr>
          <w:rFonts w:hint="eastAsia" w:ascii="黑体" w:hAnsi="黑体" w:eastAsia="黑体" w:cs="Times New Roman"/>
          <w:b w:val="0"/>
          <w:sz w:val="32"/>
          <w:szCs w:val="32"/>
        </w:rPr>
        <w:t>次</w:t>
      </w:r>
    </w:p>
    <w:p w14:paraId="3C0D660E">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TOC \o "1-2" \h \u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_Toc16258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前言</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_Toc16258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II</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5AC06F2A">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_Toc22757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　范围</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_Toc22757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29F05319">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_Toc6745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2　规范性引用文件</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_Toc6745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6F281CFF">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_Toc26199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　术语和定义</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_Toc26199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2C032AB5">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_Toc26047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　</w:t>
      </w:r>
      <w:r>
        <w:rPr>
          <w:rFonts w:hint="eastAsia" w:asciiTheme="minorEastAsia" w:hAnsiTheme="minorEastAsia" w:eastAsiaTheme="minorEastAsia" w:cstheme="minorEastAsia"/>
          <w:b w:val="0"/>
          <w:bCs w:val="0"/>
          <w:sz w:val="21"/>
          <w:szCs w:val="21"/>
          <w:lang w:val="en-US" w:eastAsia="zh-CN"/>
        </w:rPr>
        <w:t>食品实验室数字化管理原则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_Toc26047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2</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23CCBCBC">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_Toc16404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4.1</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pacing w:val="0"/>
          <w:sz w:val="21"/>
          <w:szCs w:val="21"/>
          <w:lang w:val="en-US" w:eastAsia="zh-CN"/>
        </w:rPr>
        <w:t>信息安全与隐私保护原则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_Toc16404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2</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D399C7F">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_Toc24412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4.2</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合规性原则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_Toc24412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2</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3E35FEAC">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_Toc3804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4.3</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pacing w:val="0"/>
          <w:sz w:val="21"/>
          <w:szCs w:val="21"/>
          <w:lang w:val="en-US" w:eastAsia="zh-CN"/>
        </w:rPr>
        <w:t>数据驱动原则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_Toc3804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2</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F9F083E">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_Toc20423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4.4</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pacing w:val="0"/>
          <w:sz w:val="21"/>
          <w:szCs w:val="21"/>
          <w:lang w:val="en-US" w:eastAsia="zh-CN"/>
        </w:rPr>
        <w:t>自动化与智能化原则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_Toc20423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03577C1">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_Toc30836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pacing w:val="0"/>
          <w:sz w:val="21"/>
          <w:szCs w:val="21"/>
          <w:lang w:val="en-US" w:eastAsia="zh-CN"/>
        </w:rPr>
        <w:t>4.5</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pacing w:val="0"/>
          <w:sz w:val="21"/>
          <w:szCs w:val="21"/>
          <w:lang w:val="en-US" w:eastAsia="zh-CN"/>
        </w:rPr>
        <w:t>灵活性与可扩展性原则</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_Toc30836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161BC3F">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_Toc28430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5</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食品实验室数字化管理基础条件</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_Toc28430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A1B54F5">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_Toc24720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5.1</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制度与架构</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_Toc24720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3E43ED3E">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_Toc22155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5.2</w:t>
      </w:r>
      <w:r>
        <w:rPr>
          <w:rFonts w:hint="eastAsia" w:asciiTheme="minorEastAsia" w:hAnsiTheme="minorEastAsia" w:eastAsiaTheme="minorEastAsia" w:cstheme="minorEastAsia"/>
          <w:b w:val="0"/>
          <w:bCs w:val="0"/>
          <w:sz w:val="21"/>
          <w:szCs w:val="21"/>
        </w:rPr>
        <w:t>　信息化系统</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_Toc22155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6E9B9306">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_Toc30153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5.3</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硬件设施</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_Toc30153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3</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6D3BE3B0">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_Toc12913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5.4</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数据资源</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_Toc12913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6E787BF6">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_Toc4991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w:t>
      </w:r>
      <w:r>
        <w:rPr>
          <w:rFonts w:hint="eastAsia" w:asciiTheme="minorEastAsia" w:hAnsiTheme="minorEastAsia" w:eastAsiaTheme="minorEastAsia" w:cstheme="minorEastAsia"/>
          <w:b w:val="0"/>
          <w:bCs w:val="0"/>
          <w:sz w:val="21"/>
          <w:szCs w:val="21"/>
        </w:rPr>
        <w:t>　C级</w:t>
      </w:r>
      <w:r>
        <w:rPr>
          <w:rFonts w:hint="eastAsia" w:asciiTheme="minorEastAsia" w:hAnsiTheme="minorEastAsia" w:eastAsiaTheme="minorEastAsia" w:cstheme="minorEastAsia"/>
          <w:b w:val="0"/>
          <w:bCs w:val="0"/>
          <w:sz w:val="21"/>
          <w:szCs w:val="21"/>
          <w:lang w:val="en-US" w:eastAsia="zh-CN"/>
        </w:rPr>
        <w:t>食品</w:t>
      </w:r>
      <w:r>
        <w:rPr>
          <w:rFonts w:hint="eastAsia" w:asciiTheme="minorEastAsia" w:hAnsiTheme="minorEastAsia" w:eastAsiaTheme="minorEastAsia" w:cstheme="minorEastAsia"/>
          <w:b w:val="0"/>
          <w:bCs w:val="0"/>
          <w:sz w:val="21"/>
          <w:szCs w:val="21"/>
        </w:rPr>
        <w:t>实验室</w:t>
      </w:r>
      <w:r>
        <w:rPr>
          <w:rFonts w:hint="eastAsia" w:asciiTheme="minorEastAsia" w:hAnsiTheme="minorEastAsia" w:eastAsiaTheme="minorEastAsia" w:cstheme="minorEastAsia"/>
          <w:b w:val="0"/>
          <w:bCs w:val="0"/>
          <w:sz w:val="21"/>
          <w:szCs w:val="21"/>
          <w:lang w:val="en-US" w:eastAsia="zh-CN"/>
        </w:rPr>
        <w:t>数字化管理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_Toc4991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22CAA9A">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_Toc14518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6.1</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概述</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_Toc14518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98C47A3">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_Toc1947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6.2</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人员管理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_Toc1947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1AFA5BB1">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_Toc22591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6.3</w:t>
      </w:r>
      <w:r>
        <w:rPr>
          <w:rFonts w:hint="eastAsia" w:asciiTheme="minorEastAsia" w:hAnsiTheme="minorEastAsia" w:eastAsiaTheme="minorEastAsia" w:cstheme="minorEastAsia"/>
          <w:b w:val="0"/>
          <w:bCs w:val="0"/>
          <w:sz w:val="21"/>
          <w:szCs w:val="21"/>
        </w:rPr>
        <w:t>　设备管理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_Toc22591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2FF88A2E">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_Toc905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6.4</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物料</w:t>
      </w:r>
      <w:r>
        <w:rPr>
          <w:rFonts w:hint="eastAsia" w:asciiTheme="minorEastAsia" w:hAnsiTheme="minorEastAsia" w:eastAsiaTheme="minorEastAsia" w:cstheme="minorEastAsia"/>
          <w:b w:val="0"/>
          <w:bCs w:val="0"/>
          <w:sz w:val="21"/>
          <w:szCs w:val="21"/>
        </w:rPr>
        <w:t>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_Toc905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1B031072">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_Toc27258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6.5</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样品管理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_Toc27258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00A6C33">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_Toc31207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pacing w:val="0"/>
          <w:kern w:val="2"/>
          <w:sz w:val="21"/>
          <w:szCs w:val="21"/>
          <w:lang w:val="en-US" w:eastAsia="zh-CN" w:bidi="ar"/>
        </w:rPr>
        <w:t>6</w:t>
      </w:r>
      <w:r>
        <w:rPr>
          <w:rFonts w:hint="eastAsia" w:asciiTheme="minorEastAsia" w:hAnsiTheme="minorEastAsia" w:eastAsiaTheme="minorEastAsia" w:cstheme="minorEastAsia"/>
          <w:b w:val="0"/>
          <w:bCs w:val="0"/>
          <w:sz w:val="21"/>
          <w:szCs w:val="21"/>
          <w:highlight w:val="none"/>
        </w:rPr>
        <w:t>.</w:t>
      </w:r>
      <w:r>
        <w:rPr>
          <w:rFonts w:hint="eastAsia" w:asciiTheme="minorEastAsia" w:hAnsiTheme="minorEastAsia" w:eastAsiaTheme="minorEastAsia" w:cstheme="minorEastAsia"/>
          <w:b w:val="0"/>
          <w:bCs w:val="0"/>
          <w:sz w:val="21"/>
          <w:szCs w:val="21"/>
          <w:highlight w:val="none"/>
          <w:lang w:val="en-US" w:eastAsia="zh-CN"/>
        </w:rPr>
        <w:t>6</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highlight w:val="none"/>
        </w:rPr>
        <w:t>资质能力管理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_Toc31207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4</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C1D6506">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_Toc17105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6.7</w:t>
      </w:r>
      <w:r>
        <w:rPr>
          <w:rFonts w:hint="eastAsia" w:asciiTheme="minorEastAsia" w:hAnsiTheme="minorEastAsia" w:eastAsiaTheme="minorEastAsia" w:cstheme="minorEastAsia"/>
          <w:b w:val="0"/>
          <w:bCs w:val="0"/>
          <w:sz w:val="21"/>
          <w:szCs w:val="21"/>
        </w:rPr>
        <w:t>　环境管理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_Toc17105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EDE76F8">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_Toc30390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6.8</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报告</w:t>
      </w:r>
      <w:r>
        <w:rPr>
          <w:rFonts w:hint="eastAsia" w:asciiTheme="minorEastAsia" w:hAnsiTheme="minorEastAsia" w:eastAsiaTheme="minorEastAsia" w:cstheme="minorEastAsia"/>
          <w:b w:val="0"/>
          <w:bCs w:val="0"/>
          <w:sz w:val="21"/>
          <w:szCs w:val="21"/>
        </w:rPr>
        <w:t>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_Toc30390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546C7793">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_Toc4752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B</w:t>
      </w:r>
      <w:r>
        <w:rPr>
          <w:rFonts w:hint="eastAsia" w:asciiTheme="minorEastAsia" w:hAnsiTheme="minorEastAsia" w:eastAsiaTheme="minorEastAsia" w:cstheme="minorEastAsia"/>
          <w:b w:val="0"/>
          <w:bCs w:val="0"/>
          <w:sz w:val="21"/>
          <w:szCs w:val="21"/>
        </w:rPr>
        <w:t>级</w:t>
      </w:r>
      <w:r>
        <w:rPr>
          <w:rFonts w:hint="eastAsia" w:asciiTheme="minorEastAsia" w:hAnsiTheme="minorEastAsia" w:eastAsiaTheme="minorEastAsia" w:cstheme="minorEastAsia"/>
          <w:b w:val="0"/>
          <w:bCs w:val="0"/>
          <w:sz w:val="21"/>
          <w:szCs w:val="21"/>
          <w:lang w:val="en-US" w:eastAsia="zh-CN"/>
        </w:rPr>
        <w:t>食品</w:t>
      </w:r>
      <w:r>
        <w:rPr>
          <w:rFonts w:hint="eastAsia" w:asciiTheme="minorEastAsia" w:hAnsiTheme="minorEastAsia" w:eastAsiaTheme="minorEastAsia" w:cstheme="minorEastAsia"/>
          <w:b w:val="0"/>
          <w:bCs w:val="0"/>
          <w:sz w:val="21"/>
          <w:szCs w:val="21"/>
        </w:rPr>
        <w:t>实验室</w:t>
      </w:r>
      <w:r>
        <w:rPr>
          <w:rFonts w:hint="eastAsia" w:asciiTheme="minorEastAsia" w:hAnsiTheme="minorEastAsia" w:eastAsiaTheme="minorEastAsia" w:cstheme="minorEastAsia"/>
          <w:b w:val="0"/>
          <w:bCs w:val="0"/>
          <w:sz w:val="21"/>
          <w:szCs w:val="21"/>
          <w:lang w:val="en-US" w:eastAsia="zh-CN"/>
        </w:rPr>
        <w:t>数字化管理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_Toc4752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6904C3C5">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_Toc11796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7.1</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概述</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_Toc11796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3B05FCD9">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_Toc3391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7.2</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highlight w:val="none"/>
          <w:lang w:val="en-US" w:eastAsia="zh-CN"/>
        </w:rPr>
        <w:t>人员管理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_Toc3391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68D09BB">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_Toc7625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w:t>
      </w:r>
      <w:r>
        <w:rPr>
          <w:rFonts w:hint="eastAsia" w:asciiTheme="minorEastAsia" w:hAnsiTheme="minorEastAsia" w:eastAsiaTheme="minorEastAsia" w:cstheme="minorEastAsia"/>
          <w:b w:val="0"/>
          <w:bCs w:val="0"/>
          <w:sz w:val="21"/>
          <w:szCs w:val="21"/>
        </w:rPr>
        <w:t>.</w:t>
      </w:r>
      <w:r>
        <w:rPr>
          <w:rFonts w:hint="eastAsia" w:asciiTheme="minorEastAsia" w:hAnsiTheme="minorEastAsia" w:eastAsiaTheme="minorEastAsia" w:cstheme="minorEastAsia"/>
          <w:b w:val="0"/>
          <w:bCs w:val="0"/>
          <w:sz w:val="21"/>
          <w:szCs w:val="21"/>
          <w:lang w:val="en-US" w:eastAsia="zh-CN"/>
        </w:rPr>
        <w:t>3</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highlight w:val="none"/>
        </w:rPr>
        <w:t>设备管理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_Toc7625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08A9F52">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_Toc22650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7.4</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物料</w:t>
      </w:r>
      <w:r>
        <w:rPr>
          <w:rFonts w:hint="eastAsia" w:asciiTheme="minorEastAsia" w:hAnsiTheme="minorEastAsia" w:eastAsiaTheme="minorEastAsia" w:cstheme="minorEastAsia"/>
          <w:b w:val="0"/>
          <w:bCs w:val="0"/>
          <w:sz w:val="21"/>
          <w:szCs w:val="21"/>
        </w:rPr>
        <w:t>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_Toc22650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E47DAD0">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_Toc16424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7.5</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样品管理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_Toc16424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5</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37B79A5A">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_Toc27593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pacing w:val="0"/>
          <w:kern w:val="2"/>
          <w:sz w:val="21"/>
          <w:szCs w:val="21"/>
          <w:lang w:val="en-US" w:eastAsia="zh-CN" w:bidi="ar"/>
        </w:rPr>
        <w:t>7</w:t>
      </w:r>
      <w:r>
        <w:rPr>
          <w:rFonts w:hint="eastAsia" w:asciiTheme="minorEastAsia" w:hAnsiTheme="minorEastAsia" w:eastAsiaTheme="minorEastAsia" w:cstheme="minorEastAsia"/>
          <w:b w:val="0"/>
          <w:bCs w:val="0"/>
          <w:sz w:val="21"/>
          <w:szCs w:val="21"/>
        </w:rPr>
        <w:t>.</w:t>
      </w:r>
      <w:r>
        <w:rPr>
          <w:rFonts w:hint="eastAsia" w:asciiTheme="minorEastAsia" w:hAnsiTheme="minorEastAsia" w:eastAsiaTheme="minorEastAsia" w:cstheme="minorEastAsia"/>
          <w:b w:val="0"/>
          <w:bCs w:val="0"/>
          <w:sz w:val="21"/>
          <w:szCs w:val="21"/>
          <w:lang w:val="en-US" w:eastAsia="zh-CN"/>
        </w:rPr>
        <w:t>6</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highlight w:val="none"/>
        </w:rPr>
        <w:t>资质能力管理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_Toc27593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6</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AB7DC05">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_Toc792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7.7</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highlight w:val="none"/>
          <w:lang w:bidi="ar"/>
        </w:rPr>
        <w:t>环境管理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_Toc792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6</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29D74AE6">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_Toc26636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7.8</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lang w:val="en-US" w:eastAsia="zh-CN" w:bidi="ar"/>
        </w:rPr>
        <w:t>报告管理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_Toc26636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6</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DCF9866">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_Toc3132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7.9</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lang w:val="en-US" w:eastAsia="zh-CN" w:bidi="ar"/>
        </w:rPr>
        <w:t>检测管理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_Toc3132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6</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1B51DD4C">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_Toc27509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7.10</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lang w:val="en-US" w:eastAsia="zh-CN" w:bidi="ar"/>
        </w:rPr>
        <w:t>质量管理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_Toc27509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6</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5DFABBDA">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_Toc23450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8</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A</w:t>
      </w:r>
      <w:r>
        <w:rPr>
          <w:rFonts w:hint="eastAsia" w:asciiTheme="minorEastAsia" w:hAnsiTheme="minorEastAsia" w:eastAsiaTheme="minorEastAsia" w:cstheme="minorEastAsia"/>
          <w:b w:val="0"/>
          <w:bCs w:val="0"/>
          <w:sz w:val="21"/>
          <w:szCs w:val="21"/>
        </w:rPr>
        <w:t>级</w:t>
      </w:r>
      <w:r>
        <w:rPr>
          <w:rFonts w:hint="eastAsia" w:asciiTheme="minorEastAsia" w:hAnsiTheme="minorEastAsia" w:eastAsiaTheme="minorEastAsia" w:cstheme="minorEastAsia"/>
          <w:b w:val="0"/>
          <w:bCs w:val="0"/>
          <w:sz w:val="21"/>
          <w:szCs w:val="21"/>
          <w:lang w:val="en-US" w:eastAsia="zh-CN"/>
        </w:rPr>
        <w:t>食品</w:t>
      </w:r>
      <w:r>
        <w:rPr>
          <w:rFonts w:hint="eastAsia" w:asciiTheme="minorEastAsia" w:hAnsiTheme="minorEastAsia" w:eastAsiaTheme="minorEastAsia" w:cstheme="minorEastAsia"/>
          <w:b w:val="0"/>
          <w:bCs w:val="0"/>
          <w:sz w:val="21"/>
          <w:szCs w:val="21"/>
        </w:rPr>
        <w:t>实验室</w:t>
      </w:r>
      <w:r>
        <w:rPr>
          <w:rFonts w:hint="eastAsia" w:asciiTheme="minorEastAsia" w:hAnsiTheme="minorEastAsia" w:eastAsiaTheme="minorEastAsia" w:cstheme="minorEastAsia"/>
          <w:b w:val="0"/>
          <w:bCs w:val="0"/>
          <w:sz w:val="21"/>
          <w:szCs w:val="21"/>
          <w:lang w:val="en-US" w:eastAsia="zh-CN"/>
        </w:rPr>
        <w:t>数字化管理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_Toc23450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826DCAF">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_Toc20010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8.1</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lang w:val="en-US" w:eastAsia="zh-CN" w:bidi="ar"/>
        </w:rPr>
        <w:t>概述</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_Toc20010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59B6711">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_Toc10286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8.2</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人员管理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_Toc10286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3726F2D">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_Toc21754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8</w:t>
      </w:r>
      <w:r>
        <w:rPr>
          <w:rFonts w:hint="eastAsia" w:asciiTheme="minorEastAsia" w:hAnsiTheme="minorEastAsia" w:eastAsiaTheme="minorEastAsia" w:cstheme="minorEastAsia"/>
          <w:b w:val="0"/>
          <w:bCs w:val="0"/>
          <w:sz w:val="21"/>
          <w:szCs w:val="21"/>
        </w:rPr>
        <w:t>.</w:t>
      </w:r>
      <w:r>
        <w:rPr>
          <w:rFonts w:hint="eastAsia" w:asciiTheme="minorEastAsia" w:hAnsiTheme="minorEastAsia" w:eastAsiaTheme="minorEastAsia" w:cstheme="minorEastAsia"/>
          <w:b w:val="0"/>
          <w:bCs w:val="0"/>
          <w:sz w:val="21"/>
          <w:szCs w:val="21"/>
          <w:lang w:val="en-US" w:eastAsia="zh-CN"/>
        </w:rPr>
        <w:t>3</w:t>
      </w:r>
      <w:r>
        <w:rPr>
          <w:rFonts w:hint="eastAsia" w:asciiTheme="minorEastAsia" w:hAnsiTheme="minorEastAsia" w:eastAsiaTheme="minorEastAsia" w:cstheme="minorEastAsia"/>
          <w:b w:val="0"/>
          <w:bCs w:val="0"/>
          <w:sz w:val="21"/>
          <w:szCs w:val="21"/>
        </w:rPr>
        <w:t>　设备管理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_Toc21754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741F70AF">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_Toc28226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8.4</w:t>
      </w:r>
      <w:r>
        <w:rPr>
          <w:rFonts w:hint="eastAsia" w:asciiTheme="minorEastAsia" w:hAnsiTheme="minorEastAsia" w:eastAsiaTheme="minorEastAsia" w:cstheme="minorEastAsia"/>
          <w:b w:val="0"/>
          <w:bCs w:val="0"/>
          <w:sz w:val="21"/>
          <w:szCs w:val="21"/>
        </w:rPr>
        <w:t>　</w:t>
      </w:r>
      <w:r>
        <w:rPr>
          <w:rFonts w:hint="eastAsia" w:asciiTheme="minorEastAsia" w:hAnsiTheme="minorEastAsia" w:eastAsiaTheme="minorEastAsia" w:cstheme="minorEastAsia"/>
          <w:b w:val="0"/>
          <w:bCs w:val="0"/>
          <w:sz w:val="21"/>
          <w:szCs w:val="21"/>
          <w:lang w:val="en-US" w:eastAsia="zh-CN"/>
        </w:rPr>
        <w:t>物料</w:t>
      </w:r>
      <w:r>
        <w:rPr>
          <w:rFonts w:hint="eastAsia" w:asciiTheme="minorEastAsia" w:hAnsiTheme="minorEastAsia" w:eastAsiaTheme="minorEastAsia" w:cstheme="minorEastAsia"/>
          <w:b w:val="0"/>
          <w:bCs w:val="0"/>
          <w:sz w:val="21"/>
          <w:szCs w:val="21"/>
        </w:rPr>
        <w:t>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_Toc28226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7F99398">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_Toc4819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pacing w:val="0"/>
          <w:kern w:val="2"/>
          <w:sz w:val="21"/>
          <w:szCs w:val="21"/>
          <w:lang w:val="en-US" w:eastAsia="zh-CN" w:bidi="ar"/>
        </w:rPr>
        <w:t>8</w:t>
      </w:r>
      <w:r>
        <w:rPr>
          <w:rFonts w:hint="eastAsia" w:asciiTheme="minorEastAsia" w:hAnsiTheme="minorEastAsia" w:eastAsiaTheme="minorEastAsia" w:cstheme="minorEastAsia"/>
          <w:b w:val="0"/>
          <w:bCs w:val="0"/>
          <w:sz w:val="21"/>
          <w:szCs w:val="21"/>
        </w:rPr>
        <w:t>.</w:t>
      </w:r>
      <w:r>
        <w:rPr>
          <w:rFonts w:hint="eastAsia" w:asciiTheme="minorEastAsia" w:hAnsiTheme="minorEastAsia" w:eastAsiaTheme="minorEastAsia" w:cstheme="minorEastAsia"/>
          <w:b w:val="0"/>
          <w:bCs w:val="0"/>
          <w:sz w:val="21"/>
          <w:szCs w:val="21"/>
          <w:lang w:val="en-US" w:eastAsia="zh-CN"/>
        </w:rPr>
        <w:t>5</w:t>
      </w:r>
      <w:r>
        <w:rPr>
          <w:rFonts w:hint="eastAsia" w:asciiTheme="minorEastAsia" w:hAnsiTheme="minorEastAsia" w:eastAsiaTheme="minorEastAsia" w:cstheme="minorEastAsia"/>
          <w:b w:val="0"/>
          <w:bCs w:val="0"/>
          <w:sz w:val="21"/>
          <w:szCs w:val="21"/>
        </w:rPr>
        <w:t>　资质能力管理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_Toc4819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185A8DDB">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_Toc9621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8.6</w:t>
      </w:r>
      <w:r>
        <w:rPr>
          <w:rFonts w:hint="eastAsia" w:asciiTheme="minorEastAsia" w:hAnsiTheme="minorEastAsia" w:eastAsiaTheme="minorEastAsia" w:cstheme="minorEastAsia"/>
          <w:b w:val="0"/>
          <w:bCs w:val="0"/>
          <w:sz w:val="21"/>
          <w:szCs w:val="21"/>
          <w:lang w:bidi="ar"/>
        </w:rPr>
        <w:t>　环境管理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_Toc9621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7</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6AC7424">
      <w:pPr>
        <w:pStyle w:val="19"/>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_Toc14045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bidi="ar"/>
        </w:rPr>
        <w:t>8.7</w:t>
      </w:r>
      <w:r>
        <w:rPr>
          <w:rFonts w:hint="eastAsia" w:asciiTheme="minorEastAsia" w:hAnsiTheme="minorEastAsia" w:eastAsiaTheme="minorEastAsia" w:cstheme="minorEastAsia"/>
          <w:b w:val="0"/>
          <w:bCs w:val="0"/>
          <w:sz w:val="21"/>
          <w:szCs w:val="21"/>
          <w:lang w:bidi="ar"/>
        </w:rPr>
        <w:t>　</w:t>
      </w:r>
      <w:r>
        <w:rPr>
          <w:rFonts w:hint="eastAsia" w:asciiTheme="minorEastAsia" w:hAnsiTheme="minorEastAsia" w:eastAsiaTheme="minorEastAsia" w:cstheme="minorEastAsia"/>
          <w:b w:val="0"/>
          <w:bCs w:val="0"/>
          <w:sz w:val="21"/>
          <w:szCs w:val="21"/>
          <w:lang w:val="en-US" w:eastAsia="zh-CN" w:bidi="ar"/>
        </w:rPr>
        <w:t>其他</w:t>
      </w:r>
      <w:r>
        <w:rPr>
          <w:rFonts w:hint="eastAsia" w:asciiTheme="minorEastAsia" w:hAnsiTheme="minorEastAsia" w:eastAsiaTheme="minorEastAsia" w:cstheme="minorEastAsia"/>
          <w:b w:val="0"/>
          <w:bCs w:val="0"/>
          <w:sz w:val="21"/>
          <w:szCs w:val="21"/>
          <w:lang w:bidi="ar"/>
        </w:rPr>
        <w:t>管理</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_Toc14045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8</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463186D">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_Toc1419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附 录 A （资料性） 食品实验室数字化管理架构</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_Toc1419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9</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1AA6C78B">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_Toc13407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lang w:val="en-US" w:eastAsia="zh-CN"/>
        </w:rPr>
        <w:t>附 录 B （资料性） 食品实验室数字化管理分级表</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_Toc13407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10</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4A73A7D2">
      <w:pPr>
        <w:pStyle w:val="16"/>
        <w:keepNext w:val="0"/>
        <w:keepLines w:val="0"/>
        <w:pageBreakBefore w:val="0"/>
        <w:widowControl w:val="0"/>
        <w:tabs>
          <w:tab w:val="right" w:leader="dot" w:pos="9354"/>
        </w:tabs>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HYPERLINK \l _Toc12282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kern w:val="0"/>
          <w:sz w:val="21"/>
          <w:szCs w:val="21"/>
          <w:lang w:val="en-US" w:eastAsia="zh-CN" w:bidi="ar-SA"/>
        </w:rPr>
        <w:t>参考文献</w:t>
      </w:r>
      <w:r>
        <w:rPr>
          <w:rFonts w:hint="eastAsia" w:asciiTheme="minorEastAsia" w:hAnsiTheme="minorEastAsia" w:eastAsiaTheme="minorEastAsia" w:cstheme="minorEastAsia"/>
          <w:b w:val="0"/>
          <w:bCs w:val="0"/>
          <w:sz w:val="21"/>
          <w:szCs w:val="21"/>
        </w:rPr>
        <w:tab/>
      </w:r>
      <w:r>
        <w:rPr>
          <w:rFonts w:hint="eastAsia" w:asciiTheme="minorEastAsia" w:hAnsiTheme="minorEastAsia" w:eastAsiaTheme="minorEastAsia" w:cstheme="minorEastAsia"/>
          <w:b w:val="0"/>
          <w:bCs w:val="0"/>
          <w:sz w:val="21"/>
          <w:szCs w:val="21"/>
        </w:rPr>
        <w:fldChar w:fldCharType="begin"/>
      </w:r>
      <w:r>
        <w:rPr>
          <w:rFonts w:hint="eastAsia" w:asciiTheme="minorEastAsia" w:hAnsiTheme="minorEastAsia" w:eastAsiaTheme="minorEastAsia" w:cstheme="minorEastAsia"/>
          <w:b w:val="0"/>
          <w:bCs w:val="0"/>
          <w:sz w:val="21"/>
          <w:szCs w:val="21"/>
        </w:rPr>
        <w:instrText xml:space="preserve"> PAGEREF _Toc12282 \h </w:instrText>
      </w:r>
      <w:r>
        <w:rPr>
          <w:rFonts w:hint="eastAsia" w:asciiTheme="minorEastAsia" w:hAnsiTheme="minorEastAsia" w:eastAsiaTheme="minorEastAsia" w:cstheme="minorEastAsia"/>
          <w:b w:val="0"/>
          <w:bCs w:val="0"/>
          <w:sz w:val="21"/>
          <w:szCs w:val="21"/>
        </w:rPr>
        <w:fldChar w:fldCharType="separate"/>
      </w:r>
      <w:r>
        <w:rPr>
          <w:rFonts w:hint="eastAsia" w:asciiTheme="minorEastAsia" w:hAnsiTheme="minorEastAsia" w:eastAsiaTheme="minorEastAsia" w:cstheme="minorEastAsia"/>
          <w:b w:val="0"/>
          <w:bCs w:val="0"/>
          <w:sz w:val="21"/>
          <w:szCs w:val="21"/>
        </w:rPr>
        <w:t>11</w:t>
      </w:r>
      <w:r>
        <w:rPr>
          <w:rFonts w:hint="eastAsia" w:asciiTheme="minorEastAsia" w:hAnsiTheme="minorEastAsia" w:eastAsiaTheme="minorEastAsia" w:cstheme="minorEastAsia"/>
          <w:b w:val="0"/>
          <w:bCs w:val="0"/>
          <w:sz w:val="21"/>
          <w:szCs w:val="21"/>
        </w:rPr>
        <w:fldChar w:fldCharType="end"/>
      </w:r>
      <w:r>
        <w:rPr>
          <w:rFonts w:hint="eastAsia" w:asciiTheme="minorEastAsia" w:hAnsiTheme="minorEastAsia" w:eastAsiaTheme="minorEastAsia" w:cstheme="minorEastAsia"/>
          <w:b w:val="0"/>
          <w:bCs w:val="0"/>
          <w:sz w:val="21"/>
          <w:szCs w:val="21"/>
        </w:rPr>
        <w:fldChar w:fldCharType="end"/>
      </w:r>
    </w:p>
    <w:p w14:paraId="074297C5">
      <w:pPr>
        <w:keepNext w:val="0"/>
        <w:keepLines w:val="0"/>
        <w:pageBreakBefore w:val="0"/>
        <w:widowControl w:val="0"/>
        <w:kinsoku/>
        <w:wordWrap/>
        <w:overflowPunct/>
        <w:topLinePunct w:val="0"/>
        <w:autoSpaceDE/>
        <w:autoSpaceDN/>
        <w:bidi w:val="0"/>
        <w:adjustRightInd w:val="0"/>
        <w:snapToGrid w:val="0"/>
        <w:spacing w:before="99" w:beforeLines="25" w:after="99" w:afterLines="25"/>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sz w:val="21"/>
          <w:szCs w:val="21"/>
        </w:rPr>
        <w:fldChar w:fldCharType="end"/>
      </w:r>
    </w:p>
    <w:p w14:paraId="11418E78">
      <w:pPr>
        <w:rPr>
          <w:rFonts w:ascii="宋体" w:hAnsi="宋体" w:eastAsia="宋体"/>
          <w:sz w:val="21"/>
          <w:szCs w:val="21"/>
        </w:rPr>
        <w:sectPr>
          <w:headerReference r:id="rId7" w:type="first"/>
          <w:footerReference r:id="rId10" w:type="first"/>
          <w:headerReference r:id="rId5" w:type="default"/>
          <w:footerReference r:id="rId8" w:type="default"/>
          <w:headerReference r:id="rId6" w:type="even"/>
          <w:footerReference r:id="rId9" w:type="even"/>
          <w:pgSz w:w="11905" w:h="16838"/>
          <w:pgMar w:top="1417" w:right="1134" w:bottom="1417" w:left="1417" w:header="1417" w:footer="1134" w:gutter="0"/>
          <w:pgBorders>
            <w:top w:val="none" w:sz="0" w:space="0"/>
            <w:left w:val="none" w:sz="0" w:space="0"/>
            <w:bottom w:val="none" w:sz="0" w:space="0"/>
            <w:right w:val="none" w:sz="0" w:space="0"/>
          </w:pgBorders>
          <w:pgNumType w:fmt="upperRoman" w:start="1"/>
          <w:cols w:space="0" w:num="1"/>
          <w:titlePg/>
          <w:docGrid w:type="linesAndChars" w:linePitch="389" w:charSpace="707"/>
        </w:sectPr>
      </w:pPr>
      <w:r>
        <w:tab/>
      </w:r>
    </w:p>
    <w:p w14:paraId="07811FCC">
      <w:pPr>
        <w:adjustRightInd w:val="0"/>
        <w:snapToGrid w:val="0"/>
        <w:spacing w:line="360" w:lineRule="auto"/>
      </w:pPr>
    </w:p>
    <w:p w14:paraId="641C1F35">
      <w:pPr>
        <w:pStyle w:val="2"/>
        <w:adjustRightInd w:val="0"/>
        <w:snapToGrid w:val="0"/>
        <w:spacing w:line="360" w:lineRule="auto"/>
        <w:jc w:val="center"/>
        <w:rPr>
          <w:rFonts w:ascii="黑体" w:hAnsi="黑体" w:eastAsia="黑体"/>
          <w:b w:val="0"/>
          <w:sz w:val="32"/>
          <w:szCs w:val="32"/>
        </w:rPr>
      </w:pPr>
      <w:bookmarkStart w:id="7" w:name="_Toc19217"/>
      <w:bookmarkStart w:id="8" w:name="_Toc5082"/>
      <w:bookmarkStart w:id="9" w:name="_Toc112953725"/>
      <w:bookmarkStart w:id="10" w:name="_Toc112866417"/>
      <w:bookmarkStart w:id="11" w:name="_Toc112838766"/>
      <w:bookmarkStart w:id="12" w:name="_Toc1075"/>
      <w:bookmarkStart w:id="13" w:name="_Toc8253"/>
      <w:bookmarkStart w:id="14" w:name="_Toc112839054"/>
      <w:bookmarkStart w:id="15" w:name="_Toc112838611"/>
      <w:bookmarkStart w:id="16" w:name="_Toc113028925"/>
      <w:bookmarkStart w:id="17" w:name="_Toc22323"/>
      <w:bookmarkStart w:id="18" w:name="_Toc16258"/>
      <w:bookmarkStart w:id="19" w:name="_Toc10558"/>
      <w:bookmarkStart w:id="20" w:name="_Toc6906"/>
      <w:bookmarkStart w:id="21" w:name="_Toc21792"/>
      <w:r>
        <w:rPr>
          <w:rFonts w:hint="eastAsia" w:ascii="黑体" w:hAnsi="黑体" w:eastAsia="黑体"/>
          <w:b w:val="0"/>
          <w:sz w:val="32"/>
          <w:szCs w:val="32"/>
        </w:rPr>
        <w:t xml:space="preserve">前 </w:t>
      </w:r>
      <w:r>
        <w:rPr>
          <w:rFonts w:ascii="黑体" w:hAnsi="黑体" w:eastAsia="黑体"/>
          <w:b w:val="0"/>
          <w:sz w:val="32"/>
          <w:szCs w:val="32"/>
        </w:rPr>
        <w:t xml:space="preserve"> </w:t>
      </w:r>
      <w:r>
        <w:rPr>
          <w:rFonts w:hint="eastAsia" w:ascii="黑体" w:hAnsi="黑体" w:eastAsia="黑体"/>
          <w:b w:val="0"/>
          <w:sz w:val="32"/>
          <w:szCs w:val="32"/>
        </w:rPr>
        <w:t>言</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5890238D">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本</w:t>
      </w:r>
      <w:r>
        <w:rPr>
          <w:rFonts w:hint="eastAsia" w:asciiTheme="majorEastAsia" w:hAnsiTheme="majorEastAsia" w:eastAsiaTheme="majorEastAsia" w:cstheme="majorEastAsia"/>
          <w:lang w:val="en-US" w:eastAsia="zh-CN"/>
        </w:rPr>
        <w:t>文件</w:t>
      </w:r>
      <w:r>
        <w:rPr>
          <w:rFonts w:hint="eastAsia" w:asciiTheme="majorEastAsia" w:hAnsiTheme="majorEastAsia" w:eastAsiaTheme="majorEastAsia" w:cstheme="majorEastAsia"/>
        </w:rPr>
        <w:t>按照GB/T 1.1—2020《标准化工作导则 第1部分</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标准化文件的结构和起草规则》的规定起草。</w:t>
      </w:r>
    </w:p>
    <w:p w14:paraId="1F45F4F6">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请注意本文件的某些内容可能涉及专利。本文件的发布机构不承担识别专利的责任。</w:t>
      </w:r>
    </w:p>
    <w:p w14:paraId="2A975C03">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本</w:t>
      </w:r>
      <w:r>
        <w:rPr>
          <w:rFonts w:hint="eastAsia" w:asciiTheme="majorEastAsia" w:hAnsiTheme="majorEastAsia" w:eastAsiaTheme="majorEastAsia" w:cstheme="majorEastAsia"/>
          <w:highlight w:val="none"/>
          <w:lang w:val="en-US" w:eastAsia="zh-CN"/>
        </w:rPr>
        <w:t>文件</w:t>
      </w:r>
      <w:r>
        <w:rPr>
          <w:rFonts w:hint="eastAsia" w:asciiTheme="majorEastAsia" w:hAnsiTheme="majorEastAsia" w:eastAsiaTheme="majorEastAsia" w:cstheme="majorEastAsia"/>
          <w:highlight w:val="none"/>
        </w:rPr>
        <w:t>由国家认证认可监督管理委员会提出并归口。</w:t>
      </w:r>
    </w:p>
    <w:p w14:paraId="7A63984D">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rPr>
        <w:t>本</w:t>
      </w:r>
      <w:r>
        <w:rPr>
          <w:rFonts w:hint="eastAsia" w:asciiTheme="majorEastAsia" w:hAnsiTheme="majorEastAsia" w:eastAsiaTheme="majorEastAsia" w:cstheme="majorEastAsia"/>
          <w:lang w:val="en-US" w:eastAsia="zh-CN"/>
        </w:rPr>
        <w:t>文件</w:t>
      </w:r>
      <w:r>
        <w:rPr>
          <w:rFonts w:hint="eastAsia" w:asciiTheme="majorEastAsia" w:hAnsiTheme="majorEastAsia" w:eastAsiaTheme="majorEastAsia" w:cstheme="majorEastAsia"/>
        </w:rPr>
        <w:t>起草单位：</w:t>
      </w:r>
      <w:r>
        <w:rPr>
          <w:rFonts w:hint="eastAsia" w:asciiTheme="majorEastAsia" w:hAnsiTheme="majorEastAsia" w:eastAsiaTheme="majorEastAsia" w:cstheme="majorEastAsia"/>
          <w:lang w:val="en-US" w:eastAsia="zh-CN"/>
        </w:rPr>
        <w:t>贵州省分析测试研究院、北京市科学技术研究院分析测试研究所（北京市理化分析测试中心）、北京信睿浩扬科技有限公司、舟山市食品药品检验检测研究院、河南省药品医疗器械检验院（河南省疫苗批签中心）、长兴县食品药品检验检测中心、中国贵州茅台酒厂（集团）有限责任公司、华润雪花啤酒（中国）有限公司、吉林省产品质量监督检验院、深圳海关食品检验检疫技术中心、三全食品股份有限公司、上海源本食品质</w:t>
      </w:r>
      <w:r>
        <w:rPr>
          <w:rFonts w:hint="eastAsia" w:asciiTheme="majorEastAsia" w:hAnsiTheme="majorEastAsia" w:eastAsiaTheme="majorEastAsia" w:cstheme="majorEastAsia"/>
          <w:highlight w:val="none"/>
          <w:lang w:val="en-US" w:eastAsia="zh-CN"/>
        </w:rPr>
        <w:t>量检验有限公司、贵州省检测技术研究应用中心</w:t>
      </w:r>
      <w:r>
        <w:rPr>
          <w:rFonts w:hint="eastAsia" w:asciiTheme="majorEastAsia" w:hAnsiTheme="majorEastAsia" w:eastAsiaTheme="majorEastAsia" w:cstheme="majorEastAsia"/>
          <w:highlight w:val="none"/>
        </w:rPr>
        <w:t>。</w:t>
      </w:r>
    </w:p>
    <w:p w14:paraId="041C381C">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本</w:t>
      </w:r>
      <w:r>
        <w:rPr>
          <w:rFonts w:hint="eastAsia" w:asciiTheme="majorEastAsia" w:hAnsiTheme="majorEastAsia" w:eastAsiaTheme="majorEastAsia" w:cstheme="majorEastAsia"/>
          <w:lang w:val="en-US" w:eastAsia="zh-CN"/>
        </w:rPr>
        <w:t>文件</w:t>
      </w:r>
      <w:r>
        <w:rPr>
          <w:rFonts w:hint="eastAsia" w:asciiTheme="majorEastAsia" w:hAnsiTheme="majorEastAsia" w:eastAsiaTheme="majorEastAsia" w:cstheme="majorEastAsia"/>
        </w:rPr>
        <w:t>主要起草人：张秀宇</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陈</w:t>
      </w:r>
      <w:r>
        <w:rPr>
          <w:rFonts w:hint="eastAsia" w:asciiTheme="majorEastAsia" w:hAnsiTheme="majorEastAsia" w:eastAsiaTheme="majorEastAsia" w:cstheme="majorEastAsia"/>
        </w:rPr>
        <w:t>婷</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熊贝贝</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陈翔</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肖志慧</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杨云斌</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张旻</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涂华彬</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白艳龙</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周兰影</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朱香杰</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王群、杨俊、</w:t>
      </w:r>
      <w:r>
        <w:rPr>
          <w:rFonts w:hint="eastAsia" w:asciiTheme="majorEastAsia" w:hAnsiTheme="majorEastAsia" w:eastAsiaTheme="majorEastAsia" w:cstheme="majorEastAsia"/>
        </w:rPr>
        <w:t>王菲</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曹琥靓</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陈书婷</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朱元兵、吕帅帅、李文雅</w:t>
      </w:r>
      <w:bookmarkStart w:id="232" w:name="_GoBack"/>
      <w:bookmarkEnd w:id="232"/>
      <w:r>
        <w:rPr>
          <w:rFonts w:hint="eastAsia" w:asciiTheme="majorEastAsia" w:hAnsiTheme="majorEastAsia" w:eastAsiaTheme="majorEastAsia" w:cstheme="majorEastAsia"/>
        </w:rPr>
        <w:t>。</w:t>
      </w:r>
    </w:p>
    <w:p w14:paraId="3744FA1F">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rPr>
      </w:pPr>
    </w:p>
    <w:p w14:paraId="003C81CF">
      <w:pPr>
        <w:pStyle w:val="42"/>
        <w:keepNext w:val="0"/>
        <w:keepLines w:val="0"/>
        <w:pageBreakBefore w:val="0"/>
        <w:widowControl/>
        <w:kinsoku/>
        <w:wordWrap/>
        <w:overflowPunct/>
        <w:topLinePunct w:val="0"/>
        <w:autoSpaceDE w:val="0"/>
        <w:autoSpaceDN w:val="0"/>
        <w:bidi w:val="0"/>
        <w:adjustRightInd w:val="0"/>
        <w:snapToGrid w:val="0"/>
        <w:textAlignment w:val="auto"/>
        <w:rPr>
          <w:rFonts w:hint="eastAsia" w:asciiTheme="majorEastAsia" w:hAnsiTheme="majorEastAsia" w:eastAsiaTheme="majorEastAsia" w:cstheme="majorEastAsia"/>
        </w:rPr>
        <w:sectPr>
          <w:headerReference r:id="rId13" w:type="first"/>
          <w:footerReference r:id="rId16" w:type="first"/>
          <w:headerReference r:id="rId11" w:type="default"/>
          <w:footerReference r:id="rId14" w:type="default"/>
          <w:headerReference r:id="rId12" w:type="even"/>
          <w:footerReference r:id="rId15" w:type="even"/>
          <w:pgSz w:w="11905" w:h="16838"/>
          <w:pgMar w:top="1417" w:right="1134" w:bottom="1417" w:left="1417" w:header="1417" w:footer="1134" w:gutter="0"/>
          <w:pgBorders>
            <w:top w:val="none" w:sz="0" w:space="0"/>
            <w:left w:val="none" w:sz="0" w:space="0"/>
            <w:bottom w:val="none" w:sz="0" w:space="0"/>
            <w:right w:val="none" w:sz="0" w:space="0"/>
          </w:pgBorders>
          <w:pgNumType w:fmt="upperRoman"/>
          <w:cols w:space="0" w:num="1"/>
          <w:titlePg/>
          <w:docGrid w:type="linesAndChars" w:linePitch="389" w:charSpace="707"/>
        </w:sectPr>
      </w:pPr>
    </w:p>
    <w:p w14:paraId="13DE198B">
      <w:pPr>
        <w:pStyle w:val="44"/>
        <w:outlineLvl w:val="9"/>
      </w:pPr>
      <w:bookmarkStart w:id="22" w:name="_Toc12227"/>
      <w:bookmarkStart w:id="23" w:name="_Toc915"/>
      <w:bookmarkStart w:id="24" w:name="_Toc112953727"/>
      <w:bookmarkStart w:id="25" w:name="_Toc112838613"/>
      <w:bookmarkStart w:id="26" w:name="_Toc112838768"/>
      <w:bookmarkStart w:id="27" w:name="_Toc113009681"/>
      <w:bookmarkStart w:id="28" w:name="_Toc112866369"/>
      <w:bookmarkStart w:id="29" w:name="_Toc21561"/>
      <w:bookmarkStart w:id="30" w:name="_Toc25187"/>
      <w:bookmarkStart w:id="31" w:name="_Toc112846314"/>
      <w:bookmarkStart w:id="32" w:name="_Toc112839056"/>
      <w:bookmarkStart w:id="33" w:name="_Toc1770"/>
      <w:bookmarkStart w:id="34" w:name="_Toc113028927"/>
      <w:bookmarkStart w:id="35" w:name="_Toc7860"/>
      <w:bookmarkStart w:id="36" w:name="_Toc18183"/>
      <w:bookmarkStart w:id="37" w:name="_Toc112866419"/>
      <w:r>
        <w:t>食品实验室数字化管理指南</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1680D972">
      <w:pPr>
        <w:pStyle w:val="41"/>
        <w:adjustRightInd w:val="0"/>
        <w:snapToGrid w:val="0"/>
        <w:spacing w:before="312" w:after="312"/>
        <w:ind w:left="0"/>
        <w:outlineLvl w:val="0"/>
      </w:pPr>
      <w:bookmarkStart w:id="38" w:name="_Toc13710"/>
      <w:bookmarkStart w:id="39" w:name="_Toc18270"/>
      <w:bookmarkStart w:id="40" w:name="_Toc22757"/>
      <w:bookmarkStart w:id="41" w:name="_Toc15753"/>
      <w:bookmarkStart w:id="42" w:name="_Toc31106"/>
      <w:bookmarkStart w:id="43" w:name="_Toc29256"/>
      <w:bookmarkStart w:id="44" w:name="_Toc25078"/>
      <w:bookmarkStart w:id="45" w:name="_Toc9108"/>
      <w:bookmarkStart w:id="46" w:name="_Toc10859"/>
      <w:bookmarkStart w:id="47" w:name="_Toc112953728"/>
      <w:bookmarkStart w:id="48" w:name="_Toc112866420"/>
      <w:bookmarkStart w:id="49" w:name="_Toc112838614"/>
      <w:bookmarkStart w:id="50" w:name="_Toc112838769"/>
      <w:bookmarkStart w:id="51" w:name="_Toc112839057"/>
      <w:bookmarkStart w:id="52" w:name="_Toc113028928"/>
      <w:r>
        <w:t>1</w:t>
      </w:r>
      <w:r>
        <w:rPr>
          <w:rFonts w:hint="default"/>
        </w:rPr>
        <w:t>　</w:t>
      </w:r>
      <w:r>
        <w:t>范围</w:t>
      </w:r>
      <w:bookmarkEnd w:id="38"/>
      <w:bookmarkEnd w:id="39"/>
      <w:bookmarkEnd w:id="40"/>
      <w:bookmarkEnd w:id="41"/>
      <w:bookmarkEnd w:id="42"/>
      <w:bookmarkEnd w:id="43"/>
      <w:bookmarkEnd w:id="44"/>
    </w:p>
    <w:p w14:paraId="6693B1A2">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default"/>
          <w:lang w:val="en-US"/>
        </w:rPr>
      </w:pPr>
      <w:r>
        <w:rPr>
          <w:rFonts w:hint="default"/>
          <w:lang w:val="en-US" w:eastAsia="zh-CN"/>
        </w:rPr>
        <w:t>本文件规</w:t>
      </w:r>
      <w:r>
        <w:rPr>
          <w:rFonts w:hint="eastAsia"/>
          <w:lang w:val="en-US" w:eastAsia="zh-CN"/>
        </w:rPr>
        <w:t>定了食品</w:t>
      </w:r>
      <w:r>
        <w:rPr>
          <w:rFonts w:hint="default"/>
          <w:lang w:val="en-US" w:eastAsia="zh-CN"/>
        </w:rPr>
        <w:t>实验室</w:t>
      </w:r>
      <w:r>
        <w:rPr>
          <w:rFonts w:hint="eastAsia"/>
          <w:lang w:val="en-US" w:eastAsia="zh-CN"/>
        </w:rPr>
        <w:t>数字化管理原则、基础条件和</w:t>
      </w:r>
      <w:r>
        <w:rPr>
          <w:rFonts w:hint="default"/>
          <w:lang w:val="en-US" w:eastAsia="zh-CN"/>
        </w:rPr>
        <w:t>数字化</w:t>
      </w:r>
      <w:r>
        <w:rPr>
          <w:rFonts w:hint="eastAsia"/>
          <w:lang w:val="en-US" w:eastAsia="zh-CN"/>
        </w:rPr>
        <w:t>实验室分级管理。</w:t>
      </w:r>
    </w:p>
    <w:p w14:paraId="01E463EF">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default"/>
          <w:lang w:val="en-US" w:eastAsia="zh-CN"/>
        </w:rPr>
      </w:pPr>
      <w:r>
        <w:rPr>
          <w:rFonts w:hint="default"/>
          <w:lang w:val="en-US" w:eastAsia="zh-CN"/>
        </w:rPr>
        <w:t>本文件适用于</w:t>
      </w:r>
      <w:r>
        <w:rPr>
          <w:rFonts w:hint="eastAsia"/>
          <w:lang w:val="en-US" w:eastAsia="zh-CN"/>
        </w:rPr>
        <w:t>食品实验室</w:t>
      </w:r>
      <w:r>
        <w:rPr>
          <w:rFonts w:hint="default"/>
          <w:lang w:val="en-US" w:eastAsia="zh-CN"/>
        </w:rPr>
        <w:t>数字化</w:t>
      </w:r>
      <w:r>
        <w:rPr>
          <w:rFonts w:hint="eastAsia"/>
          <w:lang w:val="en-US" w:eastAsia="zh-CN"/>
        </w:rPr>
        <w:t>建设和管理。</w:t>
      </w:r>
    </w:p>
    <w:p w14:paraId="3E279FD0">
      <w:pPr>
        <w:pStyle w:val="41"/>
        <w:keepNext w:val="0"/>
        <w:keepLines w:val="0"/>
        <w:pageBreakBefore w:val="0"/>
        <w:widowControl/>
        <w:kinsoku/>
        <w:wordWrap/>
        <w:overflowPunct/>
        <w:topLinePunct w:val="0"/>
        <w:autoSpaceDE/>
        <w:autoSpaceDN/>
        <w:bidi w:val="0"/>
        <w:adjustRightInd w:val="0"/>
        <w:snapToGrid w:val="0"/>
        <w:spacing w:before="312" w:after="312"/>
        <w:ind w:left="0"/>
        <w:textAlignment w:val="auto"/>
        <w:outlineLvl w:val="0"/>
      </w:pPr>
      <w:bookmarkStart w:id="53" w:name="_Toc6202"/>
      <w:bookmarkStart w:id="54" w:name="_Toc27451"/>
      <w:bookmarkStart w:id="55" w:name="_Toc8988"/>
      <w:bookmarkStart w:id="56" w:name="_Toc1104"/>
      <w:bookmarkStart w:id="57" w:name="_Toc19912"/>
      <w:bookmarkStart w:id="58" w:name="_Toc6745"/>
      <w:bookmarkStart w:id="59" w:name="_Toc6469"/>
      <w:r>
        <w:t>2</w:t>
      </w:r>
      <w:r>
        <w:rPr>
          <w:rFonts w:hint="default"/>
        </w:rPr>
        <w:t>　</w:t>
      </w:r>
      <w:r>
        <w:t>规范性引用文件</w:t>
      </w:r>
      <w:bookmarkEnd w:id="53"/>
      <w:bookmarkEnd w:id="54"/>
      <w:bookmarkEnd w:id="55"/>
      <w:bookmarkEnd w:id="56"/>
      <w:bookmarkEnd w:id="57"/>
      <w:bookmarkEnd w:id="58"/>
      <w:bookmarkEnd w:id="59"/>
    </w:p>
    <w:p w14:paraId="69E266C9">
      <w:pPr>
        <w:pStyle w:val="42"/>
        <w:keepNext w:val="0"/>
        <w:keepLines w:val="0"/>
        <w:pageBreakBefore w:val="0"/>
        <w:widowControl/>
        <w:kinsoku/>
        <w:wordWrap/>
        <w:overflowPunct/>
        <w:topLinePunct w:val="0"/>
        <w:autoSpaceDE w:val="0"/>
        <w:autoSpaceDN w:val="0"/>
        <w:bidi w:val="0"/>
        <w:adjustRightInd w:val="0"/>
        <w:snapToGrid w:val="0"/>
        <w:spacing w:line="240" w:lineRule="auto"/>
        <w:ind w:firstLine="424"/>
        <w:textAlignment w:val="auto"/>
        <w:rPr>
          <w:rFonts w:hint="eastAsia" w:ascii="Times New Roman"/>
        </w:rPr>
      </w:pPr>
      <w:r>
        <w:rPr>
          <w:rFonts w:ascii="Times New Roman"/>
        </w:rPr>
        <w:t>下列文件对于本文件的应用是必不可少的。</w:t>
      </w:r>
      <w:r>
        <w:rPr>
          <w:rFonts w:hint="eastAsia" w:ascii="Times New Roman"/>
        </w:rPr>
        <w:t>其中，注日期的引用文件，仅该日期</w:t>
      </w:r>
      <w:r>
        <w:rPr>
          <w:rFonts w:hint="eastAsia" w:ascii="Times New Roman"/>
          <w:lang w:eastAsia="zh-CN"/>
        </w:rPr>
        <w:t>对应</w:t>
      </w:r>
      <w:r>
        <w:rPr>
          <w:rFonts w:hint="eastAsia" w:ascii="Times New Roman"/>
        </w:rPr>
        <w:t>的版本适用于本文件；不注日期的引用文件，其最新版本（包括所有的修改单）适用于本文件</w:t>
      </w:r>
      <w:r>
        <w:rPr>
          <w:rFonts w:ascii="Times New Roman"/>
        </w:rPr>
        <w:t>。</w:t>
      </w:r>
    </w:p>
    <w:p w14:paraId="5ED1BAD2">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Times New Roman"/>
          <w:lang w:val="en-US" w:eastAsia="zh-CN"/>
        </w:rPr>
      </w:pPr>
      <w:r>
        <w:rPr>
          <w:rFonts w:hint="eastAsia" w:ascii="Times New Roman"/>
          <w:lang w:val="en-US" w:eastAsia="zh-CN"/>
        </w:rPr>
        <w:t>GB/T 5271.1-2000</w:t>
      </w:r>
      <w:r>
        <w:rPr>
          <w:rFonts w:hint="default"/>
        </w:rPr>
        <w:t>　</w:t>
      </w:r>
      <w:r>
        <w:rPr>
          <w:rFonts w:hint="eastAsia" w:ascii="Times New Roman"/>
          <w:lang w:val="en-US" w:eastAsia="zh-CN"/>
        </w:rPr>
        <w:t xml:space="preserve">信息技术 词汇 </w:t>
      </w:r>
      <w:r>
        <w:rPr>
          <w:rFonts w:hint="eastAsia"/>
          <w:lang w:val="en-US" w:eastAsia="zh-CN"/>
        </w:rPr>
        <w:t>第一部分术语</w:t>
      </w:r>
    </w:p>
    <w:p w14:paraId="508F9BAD">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Times New Roman"/>
        </w:rPr>
      </w:pPr>
      <w:r>
        <w:rPr>
          <w:rFonts w:hint="eastAsia" w:ascii="Times New Roman"/>
          <w:lang w:val="en-US" w:eastAsia="zh-CN"/>
        </w:rPr>
        <w:t>GB/T</w:t>
      </w:r>
      <w:r>
        <w:rPr>
          <w:rFonts w:hint="eastAsia" w:ascii="Times New Roman"/>
          <w:highlight w:val="none"/>
          <w:lang w:val="en-US" w:eastAsia="zh-CN"/>
        </w:rPr>
        <w:t xml:space="preserve"> 2</w:t>
      </w:r>
      <w:r>
        <w:rPr>
          <w:rFonts w:hint="eastAsia" w:ascii="Times New Roman"/>
          <w:highlight w:val="none"/>
        </w:rPr>
        <w:t>7025</w:t>
      </w:r>
      <w:r>
        <w:rPr>
          <w:rFonts w:hint="eastAsia" w:ascii="Times New Roman"/>
          <w:highlight w:val="none"/>
          <w:lang w:val="en-US" w:eastAsia="zh-CN"/>
        </w:rPr>
        <w:t>-2019</w:t>
      </w:r>
      <w:r>
        <w:rPr>
          <w:rFonts w:hint="default"/>
        </w:rPr>
        <w:t>　</w:t>
      </w:r>
      <w:r>
        <w:rPr>
          <w:rFonts w:hint="eastAsia" w:ascii="Times New Roman"/>
          <w:highlight w:val="none"/>
        </w:rPr>
        <w:t>检测和校准实验室能</w:t>
      </w:r>
      <w:r>
        <w:rPr>
          <w:rFonts w:hint="eastAsia" w:ascii="Times New Roman"/>
        </w:rPr>
        <w:t>力的通用要求</w:t>
      </w:r>
    </w:p>
    <w:p w14:paraId="17E3624E">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Times New Roman"/>
          <w:lang w:val="en-US" w:eastAsia="zh-CN"/>
        </w:rPr>
      </w:pPr>
      <w:r>
        <w:rPr>
          <w:rFonts w:hint="eastAsia" w:ascii="Times New Roman"/>
        </w:rPr>
        <w:t>GB/T 33745</w:t>
      </w:r>
      <w:r>
        <w:rPr>
          <w:rFonts w:hint="eastAsia" w:ascii="Times New Roman"/>
          <w:lang w:val="en-US" w:eastAsia="zh-CN"/>
        </w:rPr>
        <w:t>-2017</w:t>
      </w:r>
      <w:r>
        <w:rPr>
          <w:rFonts w:hint="default"/>
        </w:rPr>
        <w:t>　</w:t>
      </w:r>
      <w:r>
        <w:rPr>
          <w:rFonts w:hint="eastAsia" w:ascii="Times New Roman"/>
          <w:lang w:val="en-US" w:eastAsia="zh-CN"/>
        </w:rPr>
        <w:t>物联网 术语</w:t>
      </w:r>
    </w:p>
    <w:p w14:paraId="17B0D73B">
      <w:pPr>
        <w:pStyle w:val="42"/>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hint="eastAsia" w:ascii="Times New Roman"/>
          <w:lang w:val="en-US" w:eastAsia="zh-CN"/>
        </w:rPr>
      </w:pPr>
      <w:r>
        <w:rPr>
          <w:rFonts w:hint="eastAsia" w:ascii="Times New Roman"/>
        </w:rPr>
        <w:t>G</w:t>
      </w:r>
      <w:r>
        <w:rPr>
          <w:rFonts w:hint="eastAsia" w:ascii="Times New Roman"/>
          <w:highlight w:val="none"/>
        </w:rPr>
        <w:t>B/T 3</w:t>
      </w:r>
      <w:r>
        <w:rPr>
          <w:rFonts w:hint="eastAsia" w:ascii="Times New Roman"/>
          <w:highlight w:val="none"/>
          <w:lang w:val="en-US" w:eastAsia="zh-CN"/>
        </w:rPr>
        <w:t>529</w:t>
      </w:r>
      <w:r>
        <w:rPr>
          <w:rFonts w:hint="eastAsia" w:ascii="Times New Roman"/>
          <w:highlight w:val="none"/>
        </w:rPr>
        <w:t>5</w:t>
      </w:r>
      <w:r>
        <w:rPr>
          <w:rFonts w:hint="eastAsia" w:ascii="Times New Roman"/>
          <w:highlight w:val="none"/>
          <w:lang w:val="en-US" w:eastAsia="zh-CN"/>
        </w:rPr>
        <w:t>-2017</w:t>
      </w:r>
      <w:r>
        <w:rPr>
          <w:rFonts w:hint="default"/>
        </w:rPr>
        <w:t>　</w:t>
      </w:r>
      <w:r>
        <w:rPr>
          <w:rFonts w:hint="eastAsia" w:ascii="Times New Roman"/>
          <w:highlight w:val="none"/>
          <w:lang w:val="en-US" w:eastAsia="zh-CN"/>
        </w:rPr>
        <w:t>信息技术 大数据</w:t>
      </w:r>
      <w:r>
        <w:rPr>
          <w:rFonts w:hint="eastAsia" w:ascii="Times New Roman"/>
          <w:lang w:val="en-US" w:eastAsia="zh-CN"/>
        </w:rPr>
        <w:t xml:space="preserve"> 术语</w:t>
      </w:r>
    </w:p>
    <w:p w14:paraId="3FC83A02">
      <w:pPr>
        <w:pStyle w:val="42"/>
        <w:keepNext w:val="0"/>
        <w:keepLines w:val="0"/>
        <w:pageBreakBefore w:val="0"/>
        <w:widowControl/>
        <w:kinsoku/>
        <w:wordWrap/>
        <w:overflowPunct/>
        <w:topLinePunct w:val="0"/>
        <w:autoSpaceDE w:val="0"/>
        <w:autoSpaceDN w:val="0"/>
        <w:bidi w:val="0"/>
        <w:adjustRightInd w:val="0"/>
        <w:snapToGrid w:val="0"/>
        <w:spacing w:line="240" w:lineRule="auto"/>
        <w:ind w:firstLine="424"/>
        <w:textAlignment w:val="auto"/>
        <w:rPr>
          <w:rFonts w:hint="eastAsia" w:ascii="Times New Roman"/>
        </w:rPr>
      </w:pPr>
      <w:r>
        <w:rPr>
          <w:rFonts w:hint="eastAsia" w:ascii="Times New Roman"/>
          <w:lang w:val="en-US" w:eastAsia="zh-CN"/>
        </w:rPr>
        <w:t>SN/T 5562.1-2023</w:t>
      </w:r>
      <w:r>
        <w:rPr>
          <w:rFonts w:hint="default"/>
        </w:rPr>
        <w:t>　海关实验室数字化管理规范 第5部分：数据控制和信息管理</w:t>
      </w:r>
    </w:p>
    <w:p w14:paraId="43B529F2">
      <w:pPr>
        <w:pStyle w:val="41"/>
        <w:keepNext w:val="0"/>
        <w:keepLines w:val="0"/>
        <w:pageBreakBefore w:val="0"/>
        <w:widowControl/>
        <w:kinsoku/>
        <w:wordWrap/>
        <w:overflowPunct/>
        <w:topLinePunct w:val="0"/>
        <w:autoSpaceDE/>
        <w:autoSpaceDN/>
        <w:bidi w:val="0"/>
        <w:adjustRightInd w:val="0"/>
        <w:snapToGrid w:val="0"/>
        <w:spacing w:before="312" w:after="312"/>
        <w:ind w:left="0"/>
        <w:textAlignment w:val="auto"/>
        <w:outlineLvl w:val="0"/>
      </w:pPr>
      <w:bookmarkStart w:id="60" w:name="_Toc14829"/>
      <w:bookmarkStart w:id="61" w:name="_Toc26199"/>
      <w:bookmarkStart w:id="62" w:name="_Toc21314"/>
      <w:bookmarkStart w:id="63" w:name="_Toc17480"/>
      <w:bookmarkStart w:id="64" w:name="_Toc16399"/>
      <w:bookmarkStart w:id="65" w:name="_Toc11164"/>
      <w:bookmarkStart w:id="66" w:name="_Toc25331"/>
      <w:r>
        <w:t>3</w:t>
      </w:r>
      <w:r>
        <w:rPr>
          <w:rFonts w:hint="default"/>
        </w:rPr>
        <w:t>　</w:t>
      </w:r>
      <w:r>
        <w:t>术语和定义</w:t>
      </w:r>
      <w:bookmarkEnd w:id="60"/>
      <w:bookmarkEnd w:id="61"/>
      <w:bookmarkEnd w:id="62"/>
      <w:bookmarkEnd w:id="63"/>
      <w:bookmarkEnd w:id="64"/>
      <w:bookmarkEnd w:id="65"/>
      <w:bookmarkEnd w:id="66"/>
    </w:p>
    <w:p w14:paraId="6FCD37CC">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rPr>
          <w:rFonts w:ascii="宋体" w:hAnsi="宋体" w:eastAsia="宋体" w:cs="Times New Roman"/>
          <w:sz w:val="21"/>
          <w:szCs w:val="21"/>
        </w:rPr>
      </w:pPr>
      <w:r>
        <w:rPr>
          <w:rFonts w:ascii="Times New Roman" w:hAnsi="Times New Roman" w:eastAsia="宋体" w:cs="Times New Roman"/>
          <w:kern w:val="0"/>
          <w:sz w:val="21"/>
          <w:szCs w:val="20"/>
        </w:rPr>
        <w:t>下列术语和定义适用于本文件</w:t>
      </w:r>
      <w:r>
        <w:rPr>
          <w:rFonts w:ascii="宋体" w:hAnsi="宋体" w:eastAsia="宋体" w:cs="Times New Roman"/>
          <w:sz w:val="21"/>
          <w:szCs w:val="21"/>
        </w:rPr>
        <w:t>。</w:t>
      </w:r>
    </w:p>
    <w:p w14:paraId="3785B7D4">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ascii="黑体" w:hAnsi="Times New Roman" w:eastAsia="黑体" w:cs="Times New Roman"/>
          <w:sz w:val="21"/>
        </w:rPr>
      </w:pPr>
      <w:bookmarkStart w:id="67" w:name="_Toc27055"/>
      <w:r>
        <w:rPr>
          <w:rFonts w:ascii="黑体" w:hAnsi="黑体" w:eastAsia="黑体" w:cs="Times New Roman"/>
          <w:sz w:val="21"/>
          <w:szCs w:val="21"/>
        </w:rPr>
        <w:t>3.1</w:t>
      </w:r>
    </w:p>
    <w:p w14:paraId="0FFDEDAA">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highlight w:val="none"/>
        </w:rPr>
      </w:pPr>
      <w:r>
        <w:rPr>
          <w:rFonts w:hint="eastAsia" w:ascii="黑体" w:hAnsi="黑体" w:eastAsia="黑体" w:cs="黑体"/>
          <w:b w:val="0"/>
          <w:bCs w:val="0"/>
          <w:sz w:val="21"/>
          <w:szCs w:val="21"/>
          <w:highlight w:val="none"/>
        </w:rPr>
        <w:t>实验室laboratory</w:t>
      </w:r>
    </w:p>
    <w:p w14:paraId="7CE5113A">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rPr>
        <w:t>从事下列一种或多种活动的机构：检测；校准；与后续检测或校准相关的抽样。</w:t>
      </w:r>
    </w:p>
    <w:p w14:paraId="157E6B12">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[来源：GB/T 27025-2019，3.6]</w:t>
      </w:r>
    </w:p>
    <w:p w14:paraId="5DBC14EC">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ind w:firstLine="0"/>
        <w:jc w:val="left"/>
        <w:textAlignment w:val="auto"/>
        <w:outlineLvl w:val="9"/>
        <w:rPr>
          <w:rFonts w:hint="eastAsia" w:ascii="黑体" w:hAnsi="黑体" w:eastAsia="黑体" w:cs="黑体"/>
          <w:b w:val="0"/>
          <w:bCs w:val="0"/>
          <w:sz w:val="21"/>
          <w:szCs w:val="21"/>
        </w:rPr>
      </w:pPr>
      <w:r>
        <w:rPr>
          <w:rFonts w:ascii="黑体" w:hAnsi="黑体" w:eastAsia="黑体" w:cs="Times New Roman"/>
          <w:sz w:val="21"/>
          <w:szCs w:val="21"/>
        </w:rPr>
        <w:t>3.</w:t>
      </w:r>
      <w:r>
        <w:rPr>
          <w:rFonts w:hint="eastAsia" w:ascii="黑体" w:hAnsi="黑体" w:eastAsia="黑体" w:cs="Times New Roman"/>
          <w:sz w:val="21"/>
          <w:szCs w:val="21"/>
          <w:lang w:val="en-US" w:eastAsia="zh-CN"/>
        </w:rPr>
        <w:t>2</w:t>
      </w:r>
    </w:p>
    <w:p w14:paraId="33BFE01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食品实验室  </w:t>
      </w:r>
      <w:r>
        <w:rPr>
          <w:rFonts w:hint="eastAsia" w:ascii="黑体" w:hAnsi="黑体" w:eastAsia="黑体" w:cs="黑体"/>
          <w:b w:val="0"/>
          <w:bCs w:val="0"/>
          <w:sz w:val="21"/>
          <w:szCs w:val="21"/>
          <w:lang w:val="en-US" w:eastAsia="zh-CN"/>
        </w:rPr>
        <w:t>f</w:t>
      </w:r>
      <w:r>
        <w:rPr>
          <w:rFonts w:hint="eastAsia" w:ascii="黑体" w:hAnsi="黑体" w:eastAsia="黑体" w:cs="黑体"/>
          <w:b w:val="0"/>
          <w:bCs w:val="0"/>
          <w:sz w:val="21"/>
          <w:szCs w:val="21"/>
        </w:rPr>
        <w:t>ood</w:t>
      </w:r>
      <w:r>
        <w:rPr>
          <w:rFonts w:hint="eastAsia" w:ascii="黑体" w:hAnsi="黑体" w:eastAsia="黑体" w:cs="黑体"/>
          <w:b w:val="0"/>
          <w:bCs w:val="0"/>
          <w:sz w:val="21"/>
          <w:szCs w:val="21"/>
          <w:lang w:val="en-US" w:eastAsia="zh-CN"/>
        </w:rPr>
        <w:t xml:space="preserve"> l</w:t>
      </w:r>
      <w:r>
        <w:rPr>
          <w:rFonts w:hint="eastAsia" w:ascii="黑体" w:hAnsi="黑体" w:eastAsia="黑体" w:cs="黑体"/>
          <w:b w:val="0"/>
          <w:bCs w:val="0"/>
          <w:sz w:val="21"/>
          <w:szCs w:val="21"/>
        </w:rPr>
        <w:t xml:space="preserve">aboratory </w:t>
      </w:r>
    </w:p>
    <w:p w14:paraId="5BE0F55F">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配备精密设备进行食品安全检测分析、质量控制及研究的场所</w:t>
      </w:r>
      <w:r>
        <w:rPr>
          <w:rFonts w:hint="eastAsia" w:ascii="宋体" w:hAnsi="宋体" w:eastAsia="宋体" w:cs="Times New Roman"/>
          <w:sz w:val="21"/>
          <w:szCs w:val="21"/>
          <w:lang w:eastAsia="zh-CN"/>
        </w:rPr>
        <w:t>。</w:t>
      </w:r>
    </w:p>
    <w:p w14:paraId="636DF36B">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eastAsia" w:ascii="黑体" w:hAnsi="黑体" w:eastAsia="黑体" w:cs="Times New Roman"/>
          <w:sz w:val="21"/>
          <w:szCs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3</w:t>
      </w:r>
    </w:p>
    <w:p w14:paraId="2F61270E">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lang w:val="en-US" w:eastAsia="zh-CN"/>
        </w:rPr>
      </w:pPr>
      <w:r>
        <w:rPr>
          <w:rFonts w:hint="eastAsia" w:ascii="黑体" w:hAnsi="黑体" w:eastAsia="黑体" w:cs="黑体"/>
          <w:b w:val="0"/>
          <w:bCs w:val="0"/>
          <w:sz w:val="21"/>
          <w:szCs w:val="21"/>
          <w:lang w:val="en-US" w:eastAsia="zh-CN"/>
        </w:rPr>
        <w:t>数字化digitalization</w:t>
      </w:r>
    </w:p>
    <w:p w14:paraId="35A9AB95">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利用互联网、大数据、人工智能等新一代信息化技术，对数字和数据进行处理、分析和应用，进一步从战略、架构、运营、管理等各层面进行系统、全面的变革和重塑的过程。</w:t>
      </w:r>
    </w:p>
    <w:p w14:paraId="2B650584">
      <w:pPr>
        <w:keepNext w:val="0"/>
        <w:keepLines w:val="0"/>
        <w:pageBreakBefore w:val="0"/>
        <w:widowControl w:val="0"/>
        <w:kinsoku/>
        <w:wordWrap/>
        <w:overflowPunct/>
        <w:topLinePunct w:val="0"/>
        <w:autoSpaceDE/>
        <w:autoSpaceDN/>
        <w:bidi w:val="0"/>
        <w:adjustRightInd w:val="0"/>
        <w:snapToGrid w:val="0"/>
        <w:spacing w:line="240" w:lineRule="auto"/>
        <w:ind w:firstLine="560"/>
        <w:jc w:val="left"/>
        <w:textAlignment w:val="auto"/>
        <w:outlineLvl w:val="9"/>
        <w:rPr>
          <w:rFonts w:ascii="黑体" w:hAnsi="Times New Roman" w:eastAsia="黑体" w:cs="Times New Roman"/>
          <w:sz w:val="21"/>
        </w:rPr>
      </w:pPr>
      <w:r>
        <w:rPr>
          <w:rFonts w:hint="eastAsia" w:ascii="宋体" w:hAnsi="宋体" w:eastAsia="宋体" w:cs="Times New Roman"/>
          <w:b w:val="0"/>
          <w:bCs w:val="0"/>
          <w:sz w:val="21"/>
          <w:szCs w:val="21"/>
          <w:lang w:val="en-US" w:eastAsia="zh-CN"/>
        </w:rPr>
        <w:t>[来源：SN/T 5562.1—2023，3.14]</w:t>
      </w:r>
      <w:bookmarkEnd w:id="67"/>
    </w:p>
    <w:p w14:paraId="0CB5B3D5">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4</w:t>
      </w:r>
    </w:p>
    <w:p w14:paraId="0CAA818D">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rPr>
      </w:pPr>
      <w:r>
        <w:rPr>
          <w:rFonts w:hint="eastAsia" w:ascii="黑体" w:hAnsi="黑体" w:eastAsia="黑体" w:cs="黑体"/>
          <w:sz w:val="21"/>
          <w:szCs w:val="21"/>
        </w:rPr>
        <w:t>信息</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information</w:t>
      </w:r>
    </w:p>
    <w:p w14:paraId="227B3F8C">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关于客体</w:t>
      </w:r>
      <w:r>
        <w:rPr>
          <w:rFonts w:hint="eastAsia" w:ascii="宋体" w:hAnsi="宋体" w:eastAsia="宋体" w:cs="Times New Roman"/>
          <w:sz w:val="21"/>
          <w:szCs w:val="21"/>
          <w:lang w:eastAsia="zh-CN"/>
        </w:rPr>
        <w:t>（</w:t>
      </w:r>
      <w:r>
        <w:rPr>
          <w:rFonts w:hint="eastAsia" w:ascii="宋体" w:hAnsi="宋体" w:eastAsia="宋体" w:cs="Times New Roman"/>
          <w:sz w:val="21"/>
          <w:szCs w:val="21"/>
        </w:rPr>
        <w:t>如事实、事件、事物、过程或思想，包括概念</w:t>
      </w:r>
      <w:r>
        <w:rPr>
          <w:rFonts w:hint="eastAsia" w:ascii="宋体" w:hAnsi="宋体" w:eastAsia="宋体" w:cs="Times New Roman"/>
          <w:sz w:val="21"/>
          <w:szCs w:val="21"/>
          <w:lang w:eastAsia="zh-CN"/>
        </w:rPr>
        <w:t>）</w:t>
      </w:r>
      <w:r>
        <w:rPr>
          <w:rFonts w:hint="eastAsia" w:ascii="宋体" w:hAnsi="宋体" w:eastAsia="宋体" w:cs="Times New Roman"/>
          <w:sz w:val="21"/>
          <w:szCs w:val="21"/>
        </w:rPr>
        <w:t>的知识，在一定的场合中具有特定的意义。</w:t>
      </w:r>
    </w:p>
    <w:p w14:paraId="5DAA1BCD">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ascii="黑体" w:hAnsi="黑体" w:eastAsia="黑体" w:cs="Times New Roman"/>
          <w:sz w:val="21"/>
          <w:szCs w:val="21"/>
        </w:rPr>
      </w:pPr>
      <w:r>
        <w:rPr>
          <w:rFonts w:hint="eastAsia" w:ascii="宋体" w:hAnsi="宋体" w:eastAsia="宋体" w:cs="Times New Roman"/>
          <w:sz w:val="21"/>
          <w:szCs w:val="21"/>
        </w:rPr>
        <w:t>[</w:t>
      </w:r>
      <w:r>
        <w:rPr>
          <w:rFonts w:hint="eastAsia" w:ascii="宋体" w:hAnsi="宋体" w:eastAsia="宋体" w:cs="Times New Roman"/>
          <w:b w:val="0"/>
          <w:bCs w:val="0"/>
          <w:sz w:val="21"/>
          <w:szCs w:val="21"/>
          <w:lang w:val="en-US" w:eastAsia="zh-CN"/>
        </w:rPr>
        <w:t>来源：</w:t>
      </w:r>
      <w:r>
        <w:rPr>
          <w:rFonts w:hint="eastAsia" w:ascii="宋体" w:hAnsi="宋体" w:eastAsia="宋体" w:cs="Times New Roman"/>
          <w:sz w:val="21"/>
          <w:szCs w:val="21"/>
        </w:rPr>
        <w:t>GB/T</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5271.1—2000</w:t>
      </w:r>
      <w:r>
        <w:rPr>
          <w:rFonts w:hint="eastAsia" w:ascii="宋体" w:hAnsi="宋体" w:eastAsia="宋体" w:cs="Times New Roman"/>
          <w:sz w:val="21"/>
          <w:szCs w:val="21"/>
          <w:lang w:eastAsia="zh-CN"/>
        </w:rPr>
        <w:t>，</w:t>
      </w:r>
      <w:r>
        <w:rPr>
          <w:rFonts w:hint="eastAsia" w:ascii="宋体" w:hAnsi="宋体" w:eastAsia="宋体" w:cs="Times New Roman"/>
          <w:b w:val="0"/>
          <w:bCs w:val="0"/>
          <w:sz w:val="21"/>
          <w:szCs w:val="21"/>
          <w:lang w:val="en-US" w:eastAsia="zh-CN"/>
        </w:rPr>
        <w:t>定义</w:t>
      </w:r>
      <w:r>
        <w:rPr>
          <w:rFonts w:hint="eastAsia" w:ascii="宋体" w:hAnsi="宋体" w:eastAsia="宋体" w:cs="Times New Roman"/>
          <w:sz w:val="21"/>
          <w:szCs w:val="21"/>
        </w:rPr>
        <w:t>01.01.01]</w:t>
      </w:r>
    </w:p>
    <w:p w14:paraId="676A237E">
      <w:pPr>
        <w:keepNext w:val="0"/>
        <w:keepLines w:val="0"/>
        <w:pageBreakBefore w:val="0"/>
        <w:widowControl w:val="0"/>
        <w:kinsoku/>
        <w:wordWrap/>
        <w:overflowPunct/>
        <w:topLinePunct w:val="0"/>
        <w:autoSpaceDE/>
        <w:autoSpaceDN/>
        <w:bidi w:val="0"/>
        <w:adjustRightInd w:val="0"/>
        <w:snapToGrid w:val="0"/>
        <w:spacing w:line="240" w:lineRule="auto"/>
        <w:ind w:firstLine="0"/>
        <w:textAlignment w:val="auto"/>
        <w:rPr>
          <w:rFonts w:hint="eastAsia" w:ascii="黑体" w:hAnsi="黑体" w:eastAsia="黑体" w:cs="黑体"/>
          <w:b w:val="0"/>
          <w:bCs w:val="0"/>
          <w:sz w:val="21"/>
          <w:szCs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5</w:t>
      </w:r>
    </w:p>
    <w:p w14:paraId="47479011">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rPr>
      </w:pPr>
      <w:r>
        <w:rPr>
          <w:rFonts w:hint="eastAsia" w:ascii="黑体" w:hAnsi="黑体" w:eastAsia="黑体" w:cs="黑体"/>
          <w:b w:val="0"/>
          <w:bCs w:val="0"/>
          <w:sz w:val="21"/>
          <w:szCs w:val="21"/>
          <w:lang w:val="en-US" w:eastAsia="zh-CN"/>
        </w:rPr>
        <w:t>信息</w:t>
      </w:r>
      <w:r>
        <w:rPr>
          <w:rFonts w:hint="eastAsia" w:ascii="黑体" w:hAnsi="黑体" w:eastAsia="黑体" w:cs="黑体"/>
          <w:b w:val="0"/>
          <w:bCs w:val="0"/>
          <w:sz w:val="21"/>
          <w:szCs w:val="21"/>
        </w:rPr>
        <w:t xml:space="preserve">化 </w:t>
      </w:r>
      <w:r>
        <w:rPr>
          <w:rFonts w:hint="eastAsia" w:ascii="黑体" w:hAnsi="黑体" w:eastAsia="黑体" w:cs="黑体"/>
          <w:b w:val="0"/>
          <w:bCs w:val="0"/>
          <w:sz w:val="21"/>
          <w:szCs w:val="21"/>
          <w:lang w:val="en-US" w:eastAsia="zh-CN"/>
        </w:rPr>
        <w:t>a</w:t>
      </w:r>
      <w:r>
        <w:rPr>
          <w:rFonts w:hint="eastAsia" w:ascii="黑体" w:hAnsi="黑体" w:eastAsia="黑体" w:cs="黑体"/>
          <w:b w:val="0"/>
          <w:bCs w:val="0"/>
          <w:sz w:val="21"/>
          <w:szCs w:val="21"/>
        </w:rPr>
        <w:t>tomation</w:t>
      </w:r>
    </w:p>
    <w:p w14:paraId="007E0304">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利用计算机技术、信息系统及机械设备，通过预设程序和智能算法自动执行任务的过程。</w:t>
      </w:r>
    </w:p>
    <w:p w14:paraId="4B710D25">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eastAsia"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6</w:t>
      </w:r>
    </w:p>
    <w:p w14:paraId="6D06EA2B">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智能化 </w:t>
      </w:r>
      <w:r>
        <w:rPr>
          <w:rFonts w:hint="eastAsia" w:ascii="黑体" w:hAnsi="黑体" w:eastAsia="黑体" w:cs="黑体"/>
          <w:b w:val="0"/>
          <w:bCs w:val="0"/>
          <w:sz w:val="21"/>
          <w:szCs w:val="21"/>
          <w:lang w:val="en-US" w:eastAsia="zh-CN"/>
        </w:rPr>
        <w:t>i</w:t>
      </w:r>
      <w:r>
        <w:rPr>
          <w:rFonts w:hint="eastAsia" w:ascii="黑体" w:hAnsi="黑体" w:eastAsia="黑体" w:cs="黑体"/>
          <w:b w:val="0"/>
          <w:bCs w:val="0"/>
          <w:sz w:val="21"/>
          <w:szCs w:val="21"/>
        </w:rPr>
        <w:t>ntelligence</w:t>
      </w:r>
    </w:p>
    <w:p w14:paraId="596D26E8">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应用人工智能、机器学习、大数据分析等技术，使系统能够自主学习、分析数据并做出优化决策的过程。</w:t>
      </w:r>
    </w:p>
    <w:p w14:paraId="32D0BEF9">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eastAsia"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7</w:t>
      </w:r>
    </w:p>
    <w:p w14:paraId="1451A3AD">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食品实验室数字化管理  </w:t>
      </w:r>
      <w:r>
        <w:rPr>
          <w:rFonts w:hint="eastAsia" w:ascii="黑体" w:hAnsi="黑体" w:eastAsia="黑体" w:cs="黑体"/>
          <w:b w:val="0"/>
          <w:bCs w:val="0"/>
          <w:sz w:val="21"/>
          <w:szCs w:val="21"/>
          <w:lang w:val="en-US" w:eastAsia="zh-CN"/>
        </w:rPr>
        <w:t>f</w:t>
      </w:r>
      <w:r>
        <w:rPr>
          <w:rFonts w:hint="eastAsia" w:ascii="黑体" w:hAnsi="黑体" w:eastAsia="黑体" w:cs="黑体"/>
          <w:b w:val="0"/>
          <w:bCs w:val="0"/>
          <w:sz w:val="21"/>
          <w:szCs w:val="21"/>
        </w:rPr>
        <w:t>ood</w:t>
      </w:r>
      <w:r>
        <w:rPr>
          <w:rFonts w:hint="eastAsia" w:ascii="黑体" w:hAnsi="黑体" w:eastAsia="黑体" w:cs="黑体"/>
          <w:b w:val="0"/>
          <w:bCs w:val="0"/>
          <w:sz w:val="21"/>
          <w:szCs w:val="21"/>
          <w:lang w:val="en-US" w:eastAsia="zh-CN"/>
        </w:rPr>
        <w:t xml:space="preserve"> </w:t>
      </w:r>
      <w:r>
        <w:rPr>
          <w:rFonts w:hint="eastAsia" w:ascii="黑体" w:hAnsi="黑体" w:eastAsia="黑体" w:cs="黑体"/>
          <w:b w:val="0"/>
          <w:bCs w:val="0"/>
          <w:sz w:val="21"/>
          <w:szCs w:val="21"/>
        </w:rPr>
        <w:t xml:space="preserve">laboratory </w:t>
      </w:r>
      <w:r>
        <w:rPr>
          <w:rFonts w:hint="eastAsia" w:ascii="黑体" w:hAnsi="黑体" w:eastAsia="黑体" w:cs="黑体"/>
          <w:b w:val="0"/>
          <w:bCs w:val="0"/>
          <w:sz w:val="21"/>
          <w:szCs w:val="21"/>
          <w:lang w:val="en-US" w:eastAsia="zh-CN"/>
        </w:rPr>
        <w:t>d</w:t>
      </w:r>
      <w:r>
        <w:rPr>
          <w:rFonts w:hint="eastAsia" w:ascii="黑体" w:hAnsi="黑体" w:eastAsia="黑体" w:cs="黑体"/>
          <w:b w:val="0"/>
          <w:bCs w:val="0"/>
          <w:sz w:val="21"/>
          <w:szCs w:val="21"/>
        </w:rPr>
        <w:t xml:space="preserve">igital management </w:t>
      </w:r>
    </w:p>
    <w:p w14:paraId="4654A73F">
      <w:pPr>
        <w:keepNext w:val="0"/>
        <w:keepLines w:val="0"/>
        <w:pageBreakBefore w:val="0"/>
        <w:widowControl w:val="0"/>
        <w:kinsoku/>
        <w:wordWrap/>
        <w:overflowPunct/>
        <w:topLinePunct w:val="0"/>
        <w:autoSpaceDE/>
        <w:autoSpaceDN/>
        <w:bidi w:val="0"/>
        <w:adjustRightInd w:val="0"/>
        <w:snapToGrid w:val="0"/>
        <w:spacing w:line="240" w:lineRule="auto"/>
        <w:ind w:firstLine="560"/>
        <w:jc w:val="left"/>
        <w:textAlignment w:val="auto"/>
        <w:outlineLvl w:val="9"/>
        <w:rPr>
          <w:rFonts w:ascii="黑体" w:hAnsi="黑体" w:eastAsia="黑体" w:cs="Times New Roman"/>
          <w:sz w:val="21"/>
          <w:szCs w:val="21"/>
        </w:rPr>
      </w:pPr>
      <w:r>
        <w:rPr>
          <w:rFonts w:hint="eastAsia" w:ascii="宋体" w:hAnsi="宋体" w:eastAsia="宋体" w:cs="Times New Roman"/>
          <w:sz w:val="21"/>
          <w:szCs w:val="21"/>
        </w:rPr>
        <w:t>利用信息技术对</w:t>
      </w:r>
      <w:r>
        <w:rPr>
          <w:rFonts w:hint="eastAsia" w:ascii="宋体" w:hAnsi="宋体" w:eastAsia="宋体" w:cs="Times New Roman"/>
          <w:sz w:val="21"/>
          <w:szCs w:val="21"/>
          <w:lang w:val="en-US" w:eastAsia="zh-CN"/>
        </w:rPr>
        <w:t>食品</w:t>
      </w:r>
      <w:r>
        <w:rPr>
          <w:rFonts w:hint="eastAsia" w:ascii="宋体" w:hAnsi="宋体" w:eastAsia="宋体" w:cs="Times New Roman"/>
          <w:sz w:val="21"/>
          <w:szCs w:val="21"/>
        </w:rPr>
        <w:t>实验室的资源、流程和数据进行</w:t>
      </w:r>
      <w:r>
        <w:rPr>
          <w:rFonts w:hint="eastAsia" w:ascii="宋体" w:hAnsi="宋体" w:eastAsia="宋体" w:cs="Times New Roman"/>
          <w:sz w:val="21"/>
          <w:szCs w:val="21"/>
          <w:lang w:val="en-US" w:eastAsia="zh-CN"/>
        </w:rPr>
        <w:t>数字</w:t>
      </w:r>
      <w:r>
        <w:rPr>
          <w:rFonts w:hint="eastAsia" w:ascii="宋体" w:hAnsi="宋体" w:eastAsia="宋体" w:cs="Times New Roman"/>
          <w:sz w:val="21"/>
          <w:szCs w:val="21"/>
        </w:rPr>
        <w:t>化、</w:t>
      </w:r>
      <w:r>
        <w:rPr>
          <w:rFonts w:hint="eastAsia" w:ascii="宋体" w:hAnsi="宋体" w:eastAsia="宋体" w:cs="Times New Roman"/>
          <w:sz w:val="21"/>
          <w:szCs w:val="21"/>
          <w:lang w:val="en-US" w:eastAsia="zh-CN"/>
        </w:rPr>
        <w:t>信息</w:t>
      </w:r>
      <w:r>
        <w:rPr>
          <w:rFonts w:hint="eastAsia" w:ascii="宋体" w:hAnsi="宋体" w:eastAsia="宋体" w:cs="Times New Roman"/>
          <w:sz w:val="21"/>
          <w:szCs w:val="21"/>
        </w:rPr>
        <w:t>化和智能化管理的过程。</w:t>
      </w:r>
    </w:p>
    <w:p w14:paraId="5BFA5802">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eastAsia"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8</w:t>
      </w:r>
    </w:p>
    <w:p w14:paraId="77274A7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highlight w:val="none"/>
        </w:rPr>
      </w:pPr>
      <w:r>
        <w:rPr>
          <w:rFonts w:hint="eastAsia" w:ascii="黑体" w:hAnsi="黑体" w:eastAsia="黑体" w:cs="黑体"/>
          <w:sz w:val="21"/>
          <w:szCs w:val="21"/>
          <w:highlight w:val="none"/>
        </w:rPr>
        <w:t>物联网</w:t>
      </w:r>
      <w:r>
        <w:rPr>
          <w:rFonts w:hint="eastAsia"/>
          <w:highlight w:val="none"/>
        </w:rPr>
        <w:t xml:space="preserve"> </w:t>
      </w:r>
      <w:r>
        <w:rPr>
          <w:rFonts w:hint="eastAsia" w:ascii="黑体" w:hAnsi="黑体" w:eastAsia="黑体" w:cs="黑体"/>
          <w:sz w:val="21"/>
          <w:szCs w:val="21"/>
          <w:highlight w:val="none"/>
          <w:lang w:val="en-US" w:eastAsia="zh-CN"/>
        </w:rPr>
        <w:t>I</w:t>
      </w:r>
      <w:r>
        <w:rPr>
          <w:rFonts w:hint="eastAsia" w:ascii="黑体" w:hAnsi="黑体" w:eastAsia="黑体" w:cs="黑体"/>
          <w:sz w:val="21"/>
          <w:szCs w:val="21"/>
          <w:highlight w:val="none"/>
        </w:rPr>
        <w:t xml:space="preserve">nternet of </w:t>
      </w:r>
      <w:r>
        <w:rPr>
          <w:rFonts w:hint="eastAsia" w:ascii="黑体" w:hAnsi="黑体" w:eastAsia="黑体" w:cs="黑体"/>
          <w:sz w:val="21"/>
          <w:szCs w:val="21"/>
          <w:highlight w:val="none"/>
          <w:lang w:val="en-US" w:eastAsia="zh-CN"/>
        </w:rPr>
        <w:t>T</w:t>
      </w:r>
      <w:r>
        <w:rPr>
          <w:rFonts w:hint="eastAsia" w:ascii="黑体" w:hAnsi="黑体" w:eastAsia="黑体" w:cs="黑体"/>
          <w:sz w:val="21"/>
          <w:szCs w:val="21"/>
          <w:highlight w:val="none"/>
        </w:rPr>
        <w:t>hings;IoT</w:t>
      </w:r>
    </w:p>
    <w:p w14:paraId="6B6CB454">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通过感知设备，按照约定协议，连接物、人、系统和信息资源，实现对物理和虚拟世界的信息进行处理并作出反应的智能服务系统。</w:t>
      </w:r>
    </w:p>
    <w:p w14:paraId="725A6872">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highlight w:val="none"/>
        </w:rPr>
      </w:pPr>
      <w:r>
        <w:rPr>
          <w:rFonts w:hint="eastAsia" w:ascii="宋体" w:hAnsi="宋体" w:eastAsia="宋体" w:cs="Times New Roman"/>
          <w:b w:val="0"/>
          <w:bCs w:val="0"/>
          <w:sz w:val="21"/>
          <w:szCs w:val="21"/>
          <w:highlight w:val="none"/>
          <w:lang w:val="en-US" w:eastAsia="zh-CN"/>
        </w:rPr>
        <w:t>[来源：GB/T 33745-2017，2.1.1]</w:t>
      </w:r>
    </w:p>
    <w:p w14:paraId="51D2A553">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eastAsia"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9</w:t>
      </w:r>
    </w:p>
    <w:p w14:paraId="059C9900">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default" w:ascii="黑体" w:hAnsi="黑体" w:eastAsia="黑体" w:cs="黑体"/>
          <w:b w:val="0"/>
          <w:bCs w:val="0"/>
          <w:sz w:val="21"/>
          <w:szCs w:val="21"/>
          <w:lang w:val="en-US" w:eastAsia="zh-CN"/>
        </w:rPr>
      </w:pPr>
      <w:r>
        <w:rPr>
          <w:rFonts w:hint="eastAsia" w:ascii="黑体" w:hAnsi="黑体" w:eastAsia="黑体" w:cs="黑体"/>
          <w:b w:val="0"/>
          <w:bCs w:val="0"/>
          <w:sz w:val="21"/>
          <w:szCs w:val="21"/>
          <w:lang w:val="en-US" w:eastAsia="zh-CN"/>
        </w:rPr>
        <w:t>数据 data</w:t>
      </w:r>
    </w:p>
    <w:p w14:paraId="18E2F2A2">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信息的可再解释的形式化表示，以适用于通信、解释或处理。</w:t>
      </w:r>
    </w:p>
    <w:p w14:paraId="5CC2E177">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[来源：GB/T 5271.1-2000，定义01.01.02]</w:t>
      </w:r>
    </w:p>
    <w:p w14:paraId="045F0E7D">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10</w:t>
      </w:r>
    </w:p>
    <w:p w14:paraId="71E67C7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rPr>
      </w:pPr>
      <w:r>
        <w:rPr>
          <w:rFonts w:hint="eastAsia" w:ascii="黑体" w:hAnsi="黑体" w:eastAsia="黑体" w:cs="黑体"/>
          <w:b w:val="0"/>
          <w:bCs w:val="0"/>
          <w:sz w:val="21"/>
          <w:szCs w:val="21"/>
          <w:lang w:val="en-US" w:eastAsia="zh-CN"/>
        </w:rPr>
        <w:t>数据处理</w:t>
      </w:r>
      <w:r>
        <w:rPr>
          <w:rFonts w:hint="eastAsia"/>
        </w:rPr>
        <w:t xml:space="preserve"> </w:t>
      </w:r>
      <w:r>
        <w:rPr>
          <w:rFonts w:hint="eastAsia" w:ascii="黑体" w:hAnsi="黑体" w:eastAsia="黑体" w:cs="黑体"/>
          <w:sz w:val="21"/>
          <w:szCs w:val="21"/>
        </w:rPr>
        <w:t>data processing</w:t>
      </w:r>
    </w:p>
    <w:p w14:paraId="3BBCFA30">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数据操作的系统执行。</w:t>
      </w:r>
    </w:p>
    <w:p w14:paraId="2E6D3CB7">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注：术语“数据处理”不能用作“信息处理”的同义词。</w:t>
      </w:r>
    </w:p>
    <w:p w14:paraId="3B44C60C">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[GB/T 5271.1—2000，定义01.01.06]</w:t>
      </w:r>
    </w:p>
    <w:p w14:paraId="3C94DA24">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11</w:t>
      </w:r>
    </w:p>
    <w:p w14:paraId="3037C5A5">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黑体" w:hAnsi="黑体" w:eastAsia="黑体" w:cs="黑体"/>
          <w:sz w:val="21"/>
          <w:szCs w:val="21"/>
        </w:rPr>
        <w:t>数据管理</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data management</w:t>
      </w:r>
    </w:p>
    <w:p w14:paraId="403ABF2B">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在数据处理系统中，提供对数据的访问，执行或监视数据的存储，以及控制输入输出操作等功能。</w:t>
      </w:r>
    </w:p>
    <w:p w14:paraId="3EC05417">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[GB/T 5271.1—2000，定义01.08.02]</w:t>
      </w:r>
    </w:p>
    <w:p w14:paraId="5052EA23">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12</w:t>
      </w:r>
    </w:p>
    <w:p w14:paraId="07165B1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rPr>
      </w:pPr>
      <w:r>
        <w:rPr>
          <w:rFonts w:hint="eastAsia" w:ascii="黑体" w:hAnsi="黑体" w:eastAsia="黑体" w:cs="黑体"/>
          <w:b w:val="0"/>
          <w:bCs w:val="0"/>
          <w:sz w:val="21"/>
          <w:szCs w:val="21"/>
          <w:lang w:val="en-US" w:eastAsia="zh-CN"/>
        </w:rPr>
        <w:t>数据挖掘</w:t>
      </w:r>
      <w:r>
        <w:rPr>
          <w:rFonts w:hint="eastAsia"/>
        </w:rPr>
        <w:t xml:space="preserve"> </w:t>
      </w:r>
      <w:r>
        <w:rPr>
          <w:rFonts w:hint="eastAsia" w:ascii="黑体" w:hAnsi="黑体" w:eastAsia="黑体" w:cs="黑体"/>
          <w:sz w:val="21"/>
          <w:szCs w:val="21"/>
        </w:rPr>
        <w:t>data mining</w:t>
      </w:r>
    </w:p>
    <w:p w14:paraId="07FD3B6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从大量的数据中通过算法搜索隐藏于其中信息的过程。</w:t>
      </w:r>
    </w:p>
    <w:p w14:paraId="79A12601">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b w:val="0"/>
          <w:bCs w:val="0"/>
          <w:sz w:val="21"/>
          <w:szCs w:val="21"/>
          <w:lang w:val="en-US" w:eastAsia="zh-CN"/>
        </w:rPr>
        <w:t>注：一般通过包括统计、在线分析处理、情报检索、机器学习、专家系统（依靠过去的经验法则）和模式识别等方法来实现。</w:t>
      </w:r>
    </w:p>
    <w:p w14:paraId="5A8C10FD">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[来源：GB/T 33745-2017，2.5.3]</w:t>
      </w:r>
    </w:p>
    <w:p w14:paraId="1A05BC59">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13</w:t>
      </w:r>
    </w:p>
    <w:p w14:paraId="44F5A05A">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黑体" w:hAnsi="黑体" w:eastAsia="黑体" w:cs="黑体"/>
          <w:b w:val="0"/>
          <w:bCs w:val="0"/>
          <w:sz w:val="21"/>
          <w:szCs w:val="21"/>
          <w:lang w:val="en-US" w:eastAsia="zh-CN"/>
        </w:rPr>
      </w:pPr>
      <w:r>
        <w:rPr>
          <w:rFonts w:hint="eastAsia" w:ascii="黑体" w:hAnsi="黑体" w:eastAsia="黑体" w:cs="黑体"/>
          <w:b w:val="0"/>
          <w:bCs w:val="0"/>
          <w:sz w:val="21"/>
          <w:szCs w:val="21"/>
          <w:lang w:val="en-US" w:eastAsia="zh-CN"/>
        </w:rPr>
        <w:t>数据分析 data analysis</w:t>
      </w:r>
    </w:p>
    <w:p w14:paraId="23E261CE">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为提取有用信息和形成结论而对数据加以详细研究和概括总结的过程。</w:t>
      </w:r>
    </w:p>
    <w:p w14:paraId="22A8ED0C">
      <w:pPr>
        <w:keepNext w:val="0"/>
        <w:keepLines w:val="0"/>
        <w:pageBreakBefore w:val="0"/>
        <w:widowControl w:val="0"/>
        <w:kinsoku/>
        <w:wordWrap/>
        <w:overflowPunct/>
        <w:topLinePunct w:val="0"/>
        <w:autoSpaceDE/>
        <w:autoSpaceDN/>
        <w:bidi w:val="0"/>
        <w:adjustRightInd w:val="0"/>
        <w:snapToGrid w:val="0"/>
        <w:spacing w:line="240" w:lineRule="auto"/>
        <w:ind w:firstLine="560"/>
        <w:jc w:val="left"/>
        <w:textAlignment w:val="auto"/>
        <w:outlineLvl w:val="9"/>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[来源：GB/T 33745-2017，2.5.4]</w:t>
      </w:r>
    </w:p>
    <w:p w14:paraId="4150F244">
      <w:pPr>
        <w:keepNext w:val="0"/>
        <w:keepLines w:val="0"/>
        <w:pageBreakBefore w:val="0"/>
        <w:widowControl w:val="0"/>
        <w:tabs>
          <w:tab w:val="left" w:pos="315"/>
        </w:tabs>
        <w:kinsoku/>
        <w:wordWrap/>
        <w:overflowPunct/>
        <w:topLinePunct w:val="0"/>
        <w:autoSpaceDE/>
        <w:autoSpaceDN/>
        <w:bidi w:val="0"/>
        <w:adjustRightInd w:val="0"/>
        <w:snapToGrid w:val="0"/>
        <w:spacing w:line="240" w:lineRule="auto"/>
        <w:jc w:val="left"/>
        <w:textAlignment w:val="auto"/>
        <w:outlineLvl w:val="9"/>
        <w:rPr>
          <w:rFonts w:hint="default" w:ascii="黑体" w:hAnsi="Times New Roman" w:eastAsia="黑体" w:cs="Times New Roman"/>
          <w:sz w:val="21"/>
          <w:lang w:val="en-US" w:eastAsia="zh-CN"/>
        </w:rPr>
      </w:pPr>
      <w:r>
        <w:rPr>
          <w:rFonts w:ascii="黑体" w:hAnsi="黑体" w:eastAsia="黑体" w:cs="Times New Roman"/>
          <w:sz w:val="21"/>
          <w:szCs w:val="21"/>
        </w:rPr>
        <w:t>3.</w:t>
      </w:r>
      <w:r>
        <w:rPr>
          <w:rFonts w:hint="eastAsia" w:ascii="黑体" w:hAnsi="黑体" w:eastAsia="黑体" w:cs="Times New Roman"/>
          <w:sz w:val="21"/>
          <w:szCs w:val="21"/>
          <w:lang w:val="en-US" w:eastAsia="zh-CN"/>
        </w:rPr>
        <w:t>15</w:t>
      </w:r>
    </w:p>
    <w:p w14:paraId="6F8CDA1F">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rPr>
      </w:pPr>
      <w:r>
        <w:rPr>
          <w:rFonts w:hint="eastAsia" w:ascii="黑体" w:hAnsi="黑体" w:eastAsia="黑体" w:cs="黑体"/>
          <w:sz w:val="21"/>
          <w:szCs w:val="21"/>
        </w:rPr>
        <w:t>追溯 provenance</w:t>
      </w:r>
    </w:p>
    <w:p w14:paraId="6C99B789">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对数据集的历史元数据的讨论。</w:t>
      </w:r>
    </w:p>
    <w:p w14:paraId="56555F26">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注1</w:t>
      </w:r>
      <w:r>
        <w:rPr>
          <w:rFonts w:hint="eastAsia" w:ascii="宋体" w:hAnsi="宋体" w:eastAsia="宋体" w:cs="Times New Roman"/>
          <w:sz w:val="21"/>
          <w:szCs w:val="21"/>
          <w:lang w:eastAsia="zh-CN"/>
        </w:rPr>
        <w:t>：</w:t>
      </w:r>
      <w:r>
        <w:rPr>
          <w:rFonts w:hint="eastAsia" w:ascii="宋体" w:hAnsi="宋体" w:eastAsia="宋体" w:cs="Times New Roman"/>
          <w:sz w:val="21"/>
          <w:szCs w:val="21"/>
        </w:rPr>
        <w:t>此词条的中文名是对同一个英文名词的动词性定义的表示。</w:t>
      </w:r>
    </w:p>
    <w:p w14:paraId="52A22A5A">
      <w:pPr>
        <w:keepNext w:val="0"/>
        <w:keepLines w:val="0"/>
        <w:pageBreakBefore w:val="0"/>
        <w:widowControl w:val="0"/>
        <w:kinsoku/>
        <w:wordWrap/>
        <w:overflowPunct/>
        <w:topLinePunct w:val="0"/>
        <w:autoSpaceDE/>
        <w:autoSpaceDN/>
        <w:bidi w:val="0"/>
        <w:adjustRightInd w:val="0"/>
        <w:snapToGrid w:val="0"/>
        <w:spacing w:line="240" w:lineRule="auto"/>
        <w:ind w:firstLine="560"/>
        <w:textAlignment w:val="auto"/>
        <w:rPr>
          <w:rFonts w:hint="eastAsia" w:ascii="宋体" w:hAnsi="宋体" w:eastAsia="宋体" w:cs="Times New Roman"/>
          <w:sz w:val="21"/>
          <w:szCs w:val="21"/>
        </w:rPr>
      </w:pPr>
      <w:r>
        <w:rPr>
          <w:rFonts w:hint="eastAsia" w:ascii="宋体" w:hAnsi="宋体" w:eastAsia="宋体" w:cs="Times New Roman"/>
          <w:sz w:val="21"/>
          <w:szCs w:val="21"/>
        </w:rPr>
        <w:t>注2</w:t>
      </w:r>
      <w:r>
        <w:rPr>
          <w:rFonts w:hint="eastAsia" w:ascii="宋体" w:hAnsi="宋体" w:eastAsia="宋体" w:cs="Times New Roman"/>
          <w:sz w:val="21"/>
          <w:szCs w:val="21"/>
          <w:lang w:eastAsia="zh-CN"/>
        </w:rPr>
        <w:t>：</w:t>
      </w:r>
      <w:r>
        <w:rPr>
          <w:rFonts w:hint="eastAsia" w:ascii="宋体" w:hAnsi="宋体" w:eastAsia="宋体" w:cs="Times New Roman"/>
          <w:sz w:val="21"/>
          <w:szCs w:val="21"/>
        </w:rPr>
        <w:t>这是大数据分析中的一个必不可少的因素。</w:t>
      </w:r>
    </w:p>
    <w:p w14:paraId="2F581D66">
      <w:pPr>
        <w:keepNext w:val="0"/>
        <w:keepLines w:val="0"/>
        <w:pageBreakBefore w:val="0"/>
        <w:widowControl w:val="0"/>
        <w:kinsoku/>
        <w:wordWrap/>
        <w:overflowPunct/>
        <w:topLinePunct w:val="0"/>
        <w:autoSpaceDE/>
        <w:autoSpaceDN/>
        <w:bidi w:val="0"/>
        <w:adjustRightInd w:val="0"/>
        <w:snapToGrid w:val="0"/>
        <w:spacing w:line="240" w:lineRule="auto"/>
        <w:ind w:firstLine="560"/>
        <w:jc w:val="left"/>
        <w:textAlignment w:val="auto"/>
        <w:outlineLvl w:val="9"/>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[来源：GB/T 35295-2017，</w:t>
      </w:r>
      <w:r>
        <w:rPr>
          <w:rFonts w:hint="eastAsia" w:ascii="宋体" w:hAnsi="宋体" w:eastAsia="宋体" w:cs="Times New Roman"/>
          <w:sz w:val="21"/>
          <w:szCs w:val="21"/>
        </w:rPr>
        <w:t>2.1.47</w:t>
      </w:r>
      <w:r>
        <w:rPr>
          <w:rFonts w:hint="eastAsia" w:ascii="宋体" w:hAnsi="宋体" w:eastAsia="宋体" w:cs="Times New Roman"/>
          <w:b w:val="0"/>
          <w:bCs w:val="0"/>
          <w:sz w:val="21"/>
          <w:szCs w:val="21"/>
          <w:lang w:val="en-US" w:eastAsia="zh-CN"/>
        </w:rPr>
        <w:t>]</w:t>
      </w:r>
    </w:p>
    <w:p w14:paraId="4C0AC8C9">
      <w:pPr>
        <w:pStyle w:val="41"/>
        <w:keepNext w:val="0"/>
        <w:keepLines w:val="0"/>
        <w:pageBreakBefore w:val="0"/>
        <w:widowControl/>
        <w:kinsoku/>
        <w:wordWrap/>
        <w:overflowPunct/>
        <w:topLinePunct w:val="0"/>
        <w:autoSpaceDE/>
        <w:autoSpaceDN/>
        <w:bidi w:val="0"/>
        <w:adjustRightInd w:val="0"/>
        <w:snapToGrid w:val="0"/>
        <w:spacing w:before="312" w:after="312" w:line="240" w:lineRule="auto"/>
        <w:ind w:left="0"/>
        <w:textAlignment w:val="auto"/>
        <w:outlineLvl w:val="0"/>
        <w:rPr>
          <w:rFonts w:hint="eastAsia" w:hAnsi="Times New Roman" w:eastAsia="黑体" w:cs="Times New Roman"/>
          <w:lang w:val="en-US" w:eastAsia="zh-CN"/>
        </w:rPr>
      </w:pPr>
      <w:bookmarkStart w:id="68" w:name="_Toc25279"/>
      <w:bookmarkStart w:id="69" w:name="_Toc16675"/>
      <w:bookmarkStart w:id="70" w:name="_Toc8487"/>
      <w:bookmarkStart w:id="71" w:name="_Toc19940"/>
      <w:bookmarkStart w:id="72" w:name="_Toc18156"/>
      <w:bookmarkStart w:id="73" w:name="_Toc26047"/>
      <w:bookmarkStart w:id="74" w:name="_Toc1918"/>
      <w:r>
        <w:rPr>
          <w:rFonts w:hint="eastAsia" w:hAnsi="Times New Roman" w:cs="Times New Roman"/>
        </w:rPr>
        <w:t>4</w:t>
      </w:r>
      <w:r>
        <w:rPr>
          <w:rFonts w:hint="default" w:hAnsi="Times New Roman" w:cs="Times New Roman"/>
        </w:rPr>
        <w:t>　</w:t>
      </w:r>
      <w:r>
        <w:rPr>
          <w:rFonts w:hint="eastAsia" w:cs="Times New Roman"/>
          <w:lang w:val="en-US" w:eastAsia="zh-CN"/>
        </w:rPr>
        <w:t>食品实验室数字化管理</w:t>
      </w:r>
      <w:r>
        <w:rPr>
          <w:rFonts w:hint="default" w:hAnsi="Times New Roman" w:cs="Times New Roman"/>
          <w:lang w:val="en-US" w:eastAsia="zh-CN"/>
        </w:rPr>
        <w:t>原则</w:t>
      </w:r>
      <w:bookmarkEnd w:id="68"/>
      <w:bookmarkEnd w:id="69"/>
      <w:bookmarkEnd w:id="70"/>
      <w:bookmarkEnd w:id="71"/>
      <w:bookmarkEnd w:id="72"/>
      <w:bookmarkEnd w:id="73"/>
      <w:bookmarkEnd w:id="74"/>
      <w:r>
        <w:rPr>
          <w:rFonts w:hint="eastAsia"/>
          <w:lang w:val="en-US" w:eastAsia="zh-CN"/>
        </w:rPr>
        <w:t xml:space="preserve"> </w:t>
      </w:r>
    </w:p>
    <w:p w14:paraId="0003DE4A">
      <w:pPr>
        <w:keepNext w:val="0"/>
        <w:keepLines w:val="0"/>
        <w:pageBreakBefore w:val="0"/>
        <w:widowControl w:val="0"/>
        <w:tabs>
          <w:tab w:val="left" w:pos="315"/>
        </w:tabs>
        <w:kinsoku/>
        <w:wordWrap/>
        <w:overflowPunct/>
        <w:topLinePunct w:val="0"/>
        <w:autoSpaceDE/>
        <w:autoSpaceDN/>
        <w:bidi w:val="0"/>
        <w:adjustRightInd w:val="0"/>
        <w:snapToGrid w:val="0"/>
        <w:spacing w:before="0" w:beforeLines="50" w:afterLines="50" w:line="240" w:lineRule="auto"/>
        <w:ind w:right="0"/>
        <w:jc w:val="left"/>
        <w:textAlignment w:val="auto"/>
        <w:outlineLvl w:val="1"/>
        <w:rPr>
          <w:rFonts w:hint="eastAsia" w:ascii="黑体" w:hAnsi="Times New Roman" w:eastAsia="黑体" w:cs="Times New Roman"/>
          <w:spacing w:val="0"/>
          <w:sz w:val="21"/>
          <w:szCs w:val="24"/>
          <w:lang w:val="en-US" w:eastAsia="zh-CN"/>
        </w:rPr>
      </w:pPr>
      <w:bookmarkStart w:id="75" w:name="_Toc31970"/>
      <w:bookmarkStart w:id="76" w:name="_Toc16404"/>
      <w:bookmarkStart w:id="77" w:name="_Toc9196"/>
      <w:bookmarkStart w:id="78" w:name="_Toc27110"/>
      <w:bookmarkStart w:id="79" w:name="_Toc310"/>
      <w:r>
        <w:rPr>
          <w:rFonts w:hint="eastAsia" w:ascii="黑体" w:hAnsi="Times New Roman" w:eastAsia="黑体" w:cs="Times New Roman"/>
          <w:sz w:val="21"/>
          <w:szCs w:val="24"/>
          <w:lang w:val="en-US" w:eastAsia="zh-CN"/>
        </w:rPr>
        <w:t>4.1</w:t>
      </w:r>
      <w:r>
        <w:rPr>
          <w:rFonts w:hint="eastAsia" w:ascii="黑体" w:hAnsi="Times New Roman" w:eastAsia="黑体" w:cs="Times New Roman"/>
          <w:sz w:val="21"/>
        </w:rPr>
        <w:t>　</w:t>
      </w:r>
      <w:r>
        <w:rPr>
          <w:rFonts w:hint="eastAsia" w:ascii="黑体" w:hAnsi="Times New Roman" w:eastAsia="黑体" w:cs="Times New Roman"/>
          <w:spacing w:val="0"/>
          <w:sz w:val="21"/>
          <w:szCs w:val="24"/>
          <w:lang w:val="en-US" w:eastAsia="zh-CN"/>
        </w:rPr>
        <w:t>信息安全与隐私保护原则</w:t>
      </w:r>
      <w:bookmarkEnd w:id="75"/>
      <w:bookmarkEnd w:id="76"/>
    </w:p>
    <w:p w14:paraId="74A38FE0">
      <w:pPr>
        <w:keepNext w:val="0"/>
        <w:keepLines w:val="0"/>
        <w:pageBreakBefore w:val="0"/>
        <w:widowControl/>
        <w:kinsoku w:val="0"/>
        <w:wordWrap/>
        <w:overflowPunct/>
        <w:topLinePunct w:val="0"/>
        <w:autoSpaceDE/>
        <w:autoSpaceDN/>
        <w:bidi w:val="0"/>
        <w:adjustRightInd w:val="0"/>
        <w:snapToGrid w:val="0"/>
        <w:spacing w:after="0" w:afterLines="0" w:line="240" w:lineRule="auto"/>
        <w:ind w:right="0" w:firstLine="414" w:firstLineChars="200"/>
        <w:jc w:val="left"/>
        <w:textAlignment w:val="baseline"/>
        <w:outlineLvl w:val="9"/>
        <w:rPr>
          <w:rFonts w:hint="eastAsia" w:ascii="黑体" w:hAnsi="Times New Roman" w:eastAsia="黑体" w:cs="Times New Roman"/>
          <w:sz w:val="21"/>
          <w:szCs w:val="21"/>
          <w:lang w:val="en-US" w:eastAsia="zh-CN"/>
        </w:rPr>
      </w:pPr>
      <w:r>
        <w:rPr>
          <w:rFonts w:hint="eastAsia" w:ascii="Times New Roman" w:hAnsi="Times New Roman" w:eastAsia="宋体" w:cs="Times New Roman"/>
          <w:spacing w:val="-3"/>
          <w:sz w:val="21"/>
          <w:szCs w:val="21"/>
          <w:lang w:val="en-US" w:eastAsia="zh-CN"/>
        </w:rPr>
        <w:t>使用实时数据加密技术，遵循信息安全法规，防止数据泄露、篡改或未授权访问，确保信息安全与数据隐私保护。</w:t>
      </w:r>
    </w:p>
    <w:p w14:paraId="4921A9CD">
      <w:pPr>
        <w:keepNext w:val="0"/>
        <w:keepLines w:val="0"/>
        <w:pageBreakBefore w:val="0"/>
        <w:widowControl w:val="0"/>
        <w:tabs>
          <w:tab w:val="left" w:pos="315"/>
        </w:tabs>
        <w:kinsoku/>
        <w:wordWrap/>
        <w:overflowPunct/>
        <w:topLinePunct w:val="0"/>
        <w:autoSpaceDE/>
        <w:autoSpaceDN/>
        <w:bidi w:val="0"/>
        <w:adjustRightInd w:val="0"/>
        <w:snapToGrid w:val="0"/>
        <w:spacing w:beforeLines="50" w:after="0" w:afterLines="50" w:line="240" w:lineRule="auto"/>
        <w:ind w:right="0"/>
        <w:jc w:val="left"/>
        <w:textAlignment w:val="auto"/>
        <w:outlineLvl w:val="1"/>
        <w:rPr>
          <w:rFonts w:hint="eastAsia" w:ascii="黑体" w:hAnsi="Times New Roman" w:eastAsia="黑体" w:cs="Times New Roman"/>
          <w:sz w:val="21"/>
          <w:szCs w:val="24"/>
          <w:lang w:val="en-US" w:eastAsia="zh-CN"/>
        </w:rPr>
      </w:pPr>
      <w:bookmarkStart w:id="80" w:name="_Toc24412"/>
      <w:r>
        <w:rPr>
          <w:rFonts w:hint="eastAsia" w:ascii="黑体" w:hAnsi="Times New Roman" w:eastAsia="黑体" w:cs="Times New Roman"/>
          <w:sz w:val="21"/>
          <w:szCs w:val="24"/>
          <w:lang w:val="en-US" w:eastAsia="zh-CN"/>
        </w:rPr>
        <w:t>4.2</w:t>
      </w:r>
      <w:r>
        <w:rPr>
          <w:rFonts w:hint="eastAsia" w:ascii="黑体" w:hAnsi="Times New Roman" w:eastAsia="黑体" w:cs="Times New Roman"/>
          <w:sz w:val="21"/>
        </w:rPr>
        <w:t>　</w:t>
      </w:r>
      <w:r>
        <w:rPr>
          <w:rFonts w:hint="eastAsia" w:ascii="黑体" w:hAnsi="Times New Roman" w:eastAsia="黑体" w:cs="Times New Roman"/>
          <w:sz w:val="21"/>
          <w:szCs w:val="24"/>
          <w:lang w:val="en-US" w:eastAsia="zh-CN"/>
        </w:rPr>
        <w:t>合规性原则</w:t>
      </w:r>
      <w:bookmarkEnd w:id="77"/>
      <w:bookmarkEnd w:id="78"/>
      <w:bookmarkEnd w:id="79"/>
      <w:bookmarkEnd w:id="80"/>
    </w:p>
    <w:p w14:paraId="39302435">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right="0" w:firstLine="414" w:firstLineChars="200"/>
        <w:textAlignment w:val="baseline"/>
        <w:rPr>
          <w:rFonts w:hint="eastAsia" w:ascii="Times New Roman" w:hAnsi="Times New Roman" w:eastAsia="宋体" w:cs="Times New Roman"/>
          <w:spacing w:val="-3"/>
          <w:sz w:val="20"/>
          <w:szCs w:val="20"/>
          <w:lang w:val="en-US" w:eastAsia="zh-CN"/>
        </w:rPr>
      </w:pPr>
      <w:r>
        <w:rPr>
          <w:rFonts w:hint="eastAsia" w:ascii="Times New Roman" w:hAnsi="Times New Roman" w:eastAsia="宋体" w:cs="Times New Roman"/>
          <w:spacing w:val="-3"/>
          <w:sz w:val="21"/>
          <w:szCs w:val="21"/>
          <w:lang w:val="en-US" w:eastAsia="zh-CN"/>
        </w:rPr>
        <w:t>支撑食品实验室数字化管理的相关</w:t>
      </w:r>
      <w:r>
        <w:rPr>
          <w:rFonts w:hint="eastAsia" w:ascii="Times New Roman" w:hAnsi="Times New Roman" w:eastAsia="宋体" w:cs="Times New Roman"/>
          <w:spacing w:val="-3"/>
          <w:sz w:val="21"/>
          <w:szCs w:val="21"/>
        </w:rPr>
        <w:t>系统</w:t>
      </w:r>
      <w:r>
        <w:rPr>
          <w:rFonts w:hint="eastAsia" w:ascii="Times New Roman" w:hAnsi="Times New Roman" w:eastAsia="宋体" w:cs="Times New Roman"/>
          <w:spacing w:val="-3"/>
          <w:sz w:val="21"/>
          <w:szCs w:val="21"/>
          <w:lang w:val="en-US" w:eastAsia="zh-CN"/>
        </w:rPr>
        <w:t>和硬件的</w:t>
      </w:r>
      <w:r>
        <w:rPr>
          <w:rFonts w:hint="eastAsia" w:ascii="Times New Roman" w:hAnsi="Times New Roman" w:eastAsia="宋体" w:cs="Times New Roman"/>
          <w:spacing w:val="-3"/>
          <w:sz w:val="21"/>
          <w:szCs w:val="21"/>
        </w:rPr>
        <w:t>设计和操作符合相关法规</w:t>
      </w:r>
      <w:r>
        <w:rPr>
          <w:rFonts w:hint="eastAsia" w:ascii="Times New Roman" w:hAnsi="Times New Roman" w:eastAsia="宋体" w:cs="Times New Roman"/>
          <w:spacing w:val="-3"/>
          <w:sz w:val="21"/>
          <w:szCs w:val="21"/>
          <w:lang w:val="en-US" w:eastAsia="zh-CN"/>
        </w:rPr>
        <w:t>与</w:t>
      </w:r>
      <w:r>
        <w:rPr>
          <w:rFonts w:hint="eastAsia" w:ascii="Times New Roman" w:hAnsi="Times New Roman" w:eastAsia="宋体" w:cs="Times New Roman"/>
          <w:spacing w:val="-3"/>
          <w:sz w:val="21"/>
          <w:szCs w:val="21"/>
        </w:rPr>
        <w:t>标准，确保</w:t>
      </w:r>
      <w:r>
        <w:rPr>
          <w:rFonts w:hint="eastAsia" w:ascii="Times New Roman" w:hAnsi="Times New Roman" w:eastAsia="宋体" w:cs="Times New Roman"/>
          <w:spacing w:val="-3"/>
          <w:sz w:val="21"/>
          <w:szCs w:val="21"/>
          <w:lang w:val="en-US" w:eastAsia="zh-CN"/>
        </w:rPr>
        <w:t>食品</w:t>
      </w:r>
      <w:r>
        <w:rPr>
          <w:rFonts w:hint="eastAsia" w:ascii="Times New Roman" w:hAnsi="Times New Roman" w:eastAsia="宋体" w:cs="Times New Roman"/>
          <w:spacing w:val="-3"/>
          <w:sz w:val="21"/>
          <w:szCs w:val="21"/>
        </w:rPr>
        <w:t>实验室在数字化</w:t>
      </w:r>
      <w:r>
        <w:rPr>
          <w:rFonts w:hint="eastAsia" w:ascii="Times New Roman" w:hAnsi="Times New Roman" w:eastAsia="宋体" w:cs="Times New Roman"/>
          <w:spacing w:val="-3"/>
          <w:sz w:val="21"/>
          <w:szCs w:val="21"/>
          <w:lang w:val="en-US" w:eastAsia="zh-CN"/>
        </w:rPr>
        <w:t>管理和建设</w:t>
      </w:r>
      <w:r>
        <w:rPr>
          <w:rFonts w:hint="eastAsia" w:ascii="Times New Roman" w:hAnsi="Times New Roman" w:eastAsia="宋体" w:cs="Times New Roman"/>
          <w:spacing w:val="-3"/>
          <w:sz w:val="21"/>
          <w:szCs w:val="21"/>
        </w:rPr>
        <w:t>中保持合规性。</w:t>
      </w:r>
    </w:p>
    <w:p w14:paraId="3D6F4869">
      <w:pPr>
        <w:keepNext w:val="0"/>
        <w:keepLines w:val="0"/>
        <w:pageBreakBefore w:val="0"/>
        <w:widowControl w:val="0"/>
        <w:tabs>
          <w:tab w:val="left" w:pos="315"/>
        </w:tabs>
        <w:kinsoku/>
        <w:wordWrap/>
        <w:overflowPunct/>
        <w:topLinePunct w:val="0"/>
        <w:autoSpaceDE/>
        <w:autoSpaceDN/>
        <w:bidi w:val="0"/>
        <w:adjustRightInd w:val="0"/>
        <w:snapToGrid w:val="0"/>
        <w:spacing w:beforeLines="50" w:after="0" w:afterLines="50" w:line="240" w:lineRule="auto"/>
        <w:ind w:right="0"/>
        <w:jc w:val="left"/>
        <w:textAlignment w:val="auto"/>
        <w:outlineLvl w:val="1"/>
        <w:rPr>
          <w:rFonts w:hint="eastAsia" w:ascii="黑体" w:hAnsi="Times New Roman" w:eastAsia="黑体" w:cs="Times New Roman"/>
          <w:spacing w:val="0"/>
          <w:sz w:val="21"/>
          <w:szCs w:val="24"/>
          <w:lang w:val="en-US" w:eastAsia="zh-CN"/>
        </w:rPr>
      </w:pPr>
      <w:bookmarkStart w:id="81" w:name="_Toc12479"/>
      <w:bookmarkStart w:id="82" w:name="_Toc3804"/>
      <w:bookmarkStart w:id="83" w:name="_Toc13119"/>
      <w:bookmarkStart w:id="84" w:name="_Toc1691"/>
      <w:r>
        <w:rPr>
          <w:rFonts w:hint="eastAsia" w:ascii="黑体" w:hAnsi="Times New Roman" w:eastAsia="黑体" w:cs="Times New Roman"/>
          <w:sz w:val="21"/>
          <w:szCs w:val="24"/>
          <w:lang w:val="en-US" w:eastAsia="zh-CN"/>
        </w:rPr>
        <w:t>4.3</w:t>
      </w:r>
      <w:r>
        <w:rPr>
          <w:rFonts w:hint="eastAsia" w:ascii="黑体" w:hAnsi="Times New Roman" w:eastAsia="黑体" w:cs="Times New Roman"/>
          <w:sz w:val="21"/>
        </w:rPr>
        <w:t>　</w:t>
      </w:r>
      <w:r>
        <w:rPr>
          <w:rFonts w:hint="eastAsia" w:ascii="黑体" w:hAnsi="Times New Roman" w:eastAsia="黑体" w:cs="Times New Roman"/>
          <w:spacing w:val="0"/>
          <w:sz w:val="21"/>
          <w:szCs w:val="24"/>
          <w:lang w:val="en-US" w:eastAsia="zh-CN"/>
        </w:rPr>
        <w:t>数据驱动原则</w:t>
      </w:r>
      <w:bookmarkEnd w:id="81"/>
      <w:bookmarkEnd w:id="82"/>
      <w:bookmarkEnd w:id="83"/>
      <w:bookmarkEnd w:id="84"/>
    </w:p>
    <w:p w14:paraId="1C673A10">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right="0" w:firstLine="414" w:firstLineChars="200"/>
        <w:textAlignment w:val="baseline"/>
        <w:rPr>
          <w:rFonts w:hint="default" w:ascii="Times New Roman" w:hAnsi="Times New Roman" w:eastAsia="宋体" w:cs="Times New Roman"/>
          <w:spacing w:val="-3"/>
          <w:sz w:val="20"/>
          <w:szCs w:val="20"/>
          <w:lang w:val="en-US" w:eastAsia="zh-CN"/>
        </w:rPr>
      </w:pPr>
      <w:r>
        <w:rPr>
          <w:rFonts w:hint="eastAsia" w:ascii="Times New Roman" w:hAnsi="Times New Roman" w:eastAsia="宋体" w:cs="Times New Roman"/>
          <w:spacing w:val="-3"/>
          <w:sz w:val="21"/>
          <w:szCs w:val="21"/>
          <w:lang w:val="en-US" w:eastAsia="zh-CN"/>
        </w:rPr>
        <w:t>食品实验室数字化管理依托相关信息化系统、数据分析和智能化工具，集中管理所有实验数据和质量控制数据，优化实验室的决策过程和资源管理，提升效率和准确性。</w:t>
      </w:r>
    </w:p>
    <w:p w14:paraId="7C6E860E">
      <w:pPr>
        <w:keepNext w:val="0"/>
        <w:keepLines w:val="0"/>
        <w:pageBreakBefore w:val="0"/>
        <w:widowControl w:val="0"/>
        <w:tabs>
          <w:tab w:val="left" w:pos="315"/>
        </w:tabs>
        <w:kinsoku/>
        <w:wordWrap/>
        <w:overflowPunct/>
        <w:topLinePunct w:val="0"/>
        <w:autoSpaceDE/>
        <w:autoSpaceDN/>
        <w:bidi w:val="0"/>
        <w:adjustRightInd w:val="0"/>
        <w:snapToGrid w:val="0"/>
        <w:spacing w:before="0" w:beforeLines="50" w:afterLines="50" w:line="240" w:lineRule="auto"/>
        <w:ind w:right="0"/>
        <w:jc w:val="left"/>
        <w:textAlignment w:val="auto"/>
        <w:outlineLvl w:val="1"/>
        <w:rPr>
          <w:rFonts w:hint="eastAsia" w:ascii="黑体" w:hAnsi="Times New Roman" w:eastAsia="黑体" w:cs="Times New Roman"/>
          <w:spacing w:val="0"/>
          <w:sz w:val="21"/>
          <w:szCs w:val="24"/>
          <w:lang w:val="en-US" w:eastAsia="zh-CN"/>
        </w:rPr>
      </w:pPr>
      <w:bookmarkStart w:id="85" w:name="_Toc24815"/>
      <w:bookmarkStart w:id="86" w:name="_Toc20423"/>
      <w:bookmarkStart w:id="87" w:name="_Toc17632"/>
      <w:bookmarkStart w:id="88" w:name="_Toc22487"/>
      <w:r>
        <w:rPr>
          <w:rFonts w:hint="eastAsia" w:ascii="黑体" w:hAnsi="Times New Roman" w:eastAsia="黑体" w:cs="Times New Roman"/>
          <w:sz w:val="21"/>
          <w:szCs w:val="24"/>
          <w:lang w:val="en-US" w:eastAsia="zh-CN"/>
        </w:rPr>
        <w:t>4.4</w:t>
      </w:r>
      <w:r>
        <w:rPr>
          <w:rFonts w:hint="eastAsia" w:ascii="黑体" w:hAnsi="Times New Roman" w:eastAsia="黑体" w:cs="Times New Roman"/>
          <w:sz w:val="21"/>
        </w:rPr>
        <w:t>　</w:t>
      </w:r>
      <w:r>
        <w:rPr>
          <w:rFonts w:hint="eastAsia" w:ascii="黑体" w:hAnsi="Times New Roman" w:eastAsia="黑体" w:cs="Times New Roman"/>
          <w:spacing w:val="0"/>
          <w:sz w:val="21"/>
          <w:szCs w:val="24"/>
          <w:lang w:val="en-US" w:eastAsia="zh-CN"/>
        </w:rPr>
        <w:t>自动化与智能化原则</w:t>
      </w:r>
      <w:bookmarkEnd w:id="85"/>
      <w:bookmarkEnd w:id="86"/>
      <w:bookmarkEnd w:id="87"/>
      <w:bookmarkEnd w:id="88"/>
    </w:p>
    <w:p w14:paraId="5CA3AFBC">
      <w:pPr>
        <w:keepNext w:val="0"/>
        <w:keepLines w:val="0"/>
        <w:pageBreakBefore w:val="0"/>
        <w:widowControl/>
        <w:kinsoku w:val="0"/>
        <w:wordWrap/>
        <w:overflowPunct/>
        <w:topLinePunct w:val="0"/>
        <w:autoSpaceDE/>
        <w:autoSpaceDN/>
        <w:bidi w:val="0"/>
        <w:adjustRightInd w:val="0"/>
        <w:snapToGrid w:val="0"/>
        <w:spacing w:before="0" w:afterLines="0" w:line="240" w:lineRule="auto"/>
        <w:ind w:right="0" w:firstLine="414" w:firstLineChars="2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食品实验室数字化管理宜引入自动化系统和智能技术开展样品管理、实验结果数据采集、报告生成等环节，减少人为错误和操作复杂性，提高工作效率、准确性和响应速度。</w:t>
      </w:r>
    </w:p>
    <w:p w14:paraId="5B50AE09">
      <w:pPr>
        <w:keepNext w:val="0"/>
        <w:keepLines w:val="0"/>
        <w:pageBreakBefore w:val="0"/>
        <w:widowControl w:val="0"/>
        <w:tabs>
          <w:tab w:val="left" w:pos="315"/>
        </w:tabs>
        <w:kinsoku/>
        <w:wordWrap/>
        <w:overflowPunct/>
        <w:topLinePunct w:val="0"/>
        <w:autoSpaceDE/>
        <w:autoSpaceDN/>
        <w:bidi w:val="0"/>
        <w:adjustRightInd w:val="0"/>
        <w:snapToGrid w:val="0"/>
        <w:spacing w:before="0" w:beforeLines="50" w:afterLines="50" w:line="240" w:lineRule="auto"/>
        <w:ind w:right="0"/>
        <w:jc w:val="left"/>
        <w:textAlignment w:val="auto"/>
        <w:outlineLvl w:val="1"/>
        <w:rPr>
          <w:rFonts w:hint="eastAsia" w:ascii="黑体" w:hAnsi="Times New Roman" w:eastAsia="黑体" w:cs="Times New Roman"/>
          <w:spacing w:val="0"/>
          <w:sz w:val="21"/>
          <w:szCs w:val="24"/>
          <w:lang w:val="en-US" w:eastAsia="zh-CN"/>
        </w:rPr>
      </w:pPr>
      <w:bookmarkStart w:id="89" w:name="_Toc23660"/>
      <w:bookmarkStart w:id="90" w:name="_Toc30836"/>
      <w:bookmarkStart w:id="91" w:name="_Toc6199"/>
      <w:bookmarkStart w:id="92" w:name="_Toc27442"/>
      <w:r>
        <w:rPr>
          <w:rFonts w:hint="eastAsia" w:ascii="黑体" w:hAnsi="Times New Roman" w:eastAsia="黑体" w:cs="Times New Roman"/>
          <w:spacing w:val="0"/>
          <w:sz w:val="21"/>
          <w:szCs w:val="24"/>
          <w:lang w:val="en-US" w:eastAsia="zh-CN"/>
        </w:rPr>
        <w:t>4.5</w:t>
      </w:r>
      <w:r>
        <w:rPr>
          <w:rFonts w:hint="eastAsia" w:ascii="黑体" w:hAnsi="Times New Roman" w:eastAsia="黑体" w:cs="Times New Roman"/>
          <w:sz w:val="21"/>
        </w:rPr>
        <w:t>　</w:t>
      </w:r>
      <w:r>
        <w:rPr>
          <w:rFonts w:hint="eastAsia" w:ascii="黑体" w:hAnsi="Times New Roman" w:eastAsia="黑体" w:cs="Times New Roman"/>
          <w:spacing w:val="0"/>
          <w:sz w:val="21"/>
          <w:szCs w:val="24"/>
          <w:lang w:val="en-US" w:eastAsia="zh-CN"/>
        </w:rPr>
        <w:t>灵活性与可扩展性原则</w:t>
      </w:r>
      <w:bookmarkEnd w:id="89"/>
      <w:bookmarkEnd w:id="90"/>
      <w:bookmarkEnd w:id="91"/>
      <w:bookmarkEnd w:id="92"/>
    </w:p>
    <w:p w14:paraId="3CBCCAF6">
      <w:pPr>
        <w:keepNext w:val="0"/>
        <w:keepLines w:val="0"/>
        <w:pageBreakBefore w:val="0"/>
        <w:widowControl/>
        <w:kinsoku w:val="0"/>
        <w:wordWrap/>
        <w:overflowPunct/>
        <w:topLinePunct w:val="0"/>
        <w:autoSpaceDE/>
        <w:autoSpaceDN/>
        <w:bidi w:val="0"/>
        <w:adjustRightInd w:val="0"/>
        <w:snapToGrid w:val="0"/>
        <w:spacing w:before="0" w:afterLines="0" w:line="240" w:lineRule="auto"/>
        <w:ind w:right="0" w:firstLine="414" w:firstLineChars="2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支撑食品实验室数字化管理的系统或软件宜具备灵活性和可扩展性，能够应对实验室需求变化，适应未来发展。</w:t>
      </w:r>
    </w:p>
    <w:bookmarkEnd w:id="45"/>
    <w:bookmarkEnd w:id="46"/>
    <w:bookmarkEnd w:id="47"/>
    <w:bookmarkEnd w:id="48"/>
    <w:bookmarkEnd w:id="49"/>
    <w:bookmarkEnd w:id="50"/>
    <w:bookmarkEnd w:id="51"/>
    <w:bookmarkEnd w:id="52"/>
    <w:p w14:paraId="6C6CF318">
      <w:pPr>
        <w:pStyle w:val="41"/>
        <w:keepNext w:val="0"/>
        <w:keepLines w:val="0"/>
        <w:pageBreakBefore w:val="0"/>
        <w:widowControl/>
        <w:kinsoku/>
        <w:wordWrap/>
        <w:overflowPunct/>
        <w:topLinePunct w:val="0"/>
        <w:autoSpaceDE/>
        <w:autoSpaceDN/>
        <w:bidi w:val="0"/>
        <w:adjustRightInd w:val="0"/>
        <w:snapToGrid w:val="0"/>
        <w:spacing w:before="312" w:after="312" w:line="240" w:lineRule="auto"/>
        <w:ind w:left="0"/>
        <w:textAlignment w:val="auto"/>
        <w:outlineLvl w:val="0"/>
        <w:rPr>
          <w:rFonts w:hint="eastAsia" w:hAnsi="Times New Roman" w:eastAsia="黑体" w:cs="Times New Roman"/>
          <w:lang w:val="en-US" w:eastAsia="zh-CN"/>
        </w:rPr>
      </w:pPr>
      <w:bookmarkStart w:id="93" w:name="_Toc2528"/>
      <w:bookmarkStart w:id="94" w:name="_Toc28430"/>
      <w:bookmarkStart w:id="95" w:name="_Toc1659"/>
      <w:bookmarkStart w:id="96" w:name="_Toc11158"/>
      <w:bookmarkStart w:id="97" w:name="_Toc27573"/>
      <w:bookmarkStart w:id="98" w:name="_Toc15540"/>
      <w:bookmarkStart w:id="99" w:name="_Toc11907"/>
      <w:bookmarkStart w:id="100" w:name="_Toc112866426"/>
      <w:bookmarkStart w:id="101" w:name="_Toc113028934"/>
      <w:bookmarkStart w:id="102" w:name="_Toc112953734"/>
      <w:bookmarkStart w:id="103" w:name="_Toc7752"/>
      <w:bookmarkStart w:id="104" w:name="_Toc112838778"/>
      <w:bookmarkStart w:id="105" w:name="_Toc1437"/>
      <w:bookmarkStart w:id="106" w:name="_Toc112839066"/>
      <w:bookmarkStart w:id="107" w:name="_Toc112838623"/>
      <w:r>
        <w:rPr>
          <w:rFonts w:hint="eastAsia" w:cs="Times New Roman"/>
          <w:lang w:val="en-US" w:eastAsia="zh-CN"/>
        </w:rPr>
        <w:t>5</w:t>
      </w:r>
      <w:r>
        <w:rPr>
          <w:rFonts w:hint="default" w:hAnsi="Times New Roman" w:cs="Times New Roman"/>
        </w:rPr>
        <w:t>　</w:t>
      </w:r>
      <w:r>
        <w:rPr>
          <w:rFonts w:hint="eastAsia" w:cs="Times New Roman"/>
          <w:lang w:val="en-US" w:eastAsia="zh-CN"/>
        </w:rPr>
        <w:t>食品实验室数字化管理基础条件</w:t>
      </w:r>
      <w:bookmarkEnd w:id="93"/>
      <w:bookmarkEnd w:id="94"/>
      <w:bookmarkEnd w:id="95"/>
    </w:p>
    <w:p w14:paraId="454E6AC0">
      <w:pPr>
        <w:keepNext w:val="0"/>
        <w:keepLines w:val="0"/>
        <w:pageBreakBefore w:val="0"/>
        <w:widowControl w:val="0"/>
        <w:tabs>
          <w:tab w:val="left" w:pos="315"/>
        </w:tabs>
        <w:kinsoku/>
        <w:wordWrap/>
        <w:overflowPunct/>
        <w:topLinePunct w:val="0"/>
        <w:autoSpaceDE/>
        <w:autoSpaceDN/>
        <w:bidi w:val="0"/>
        <w:adjustRightInd w:val="0"/>
        <w:snapToGrid w:val="0"/>
        <w:spacing w:before="0" w:beforeLines="50" w:after="312" w:afterLines="50" w:line="240" w:lineRule="auto"/>
        <w:ind w:left="0"/>
        <w:jc w:val="left"/>
        <w:textAlignment w:val="auto"/>
        <w:outlineLvl w:val="1"/>
        <w:rPr>
          <w:rFonts w:hint="eastAsia" w:ascii="黑体" w:hAnsi="Times New Roman" w:eastAsia="黑体" w:cs="Times New Roman"/>
          <w:sz w:val="21"/>
          <w:lang w:val="en-US" w:eastAsia="zh-CN"/>
        </w:rPr>
      </w:pPr>
      <w:bookmarkStart w:id="108" w:name="_Toc24720"/>
      <w:r>
        <w:rPr>
          <w:rFonts w:hint="eastAsia" w:ascii="黑体" w:hAnsi="Times New Roman" w:eastAsia="黑体" w:cs="Times New Roman"/>
          <w:sz w:val="21"/>
          <w:lang w:val="en-US" w:eastAsia="zh-CN"/>
        </w:rPr>
        <w:t>5.1</w:t>
      </w:r>
      <w:r>
        <w:rPr>
          <w:rFonts w:hint="eastAsia" w:ascii="黑体" w:hAnsi="Times New Roman" w:eastAsia="黑体" w:cs="Times New Roman"/>
          <w:sz w:val="21"/>
        </w:rPr>
        <w:t>　</w:t>
      </w:r>
      <w:r>
        <w:rPr>
          <w:rFonts w:hint="eastAsia" w:ascii="黑体" w:hAnsi="Times New Roman" w:eastAsia="黑体" w:cs="Times New Roman"/>
          <w:sz w:val="21"/>
          <w:lang w:val="en-US" w:eastAsia="zh-CN"/>
        </w:rPr>
        <w:t>制度与架构</w:t>
      </w:r>
      <w:bookmarkEnd w:id="96"/>
      <w:bookmarkEnd w:id="97"/>
      <w:bookmarkEnd w:id="98"/>
      <w:bookmarkEnd w:id="99"/>
      <w:bookmarkEnd w:id="108"/>
    </w:p>
    <w:p w14:paraId="57C59789">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rPr>
          <w:rFonts w:hint="eastAsia" w:ascii="Times New Roman" w:hAnsi="Times New Roman" w:eastAsia="宋体" w:cs="Times New Roman"/>
          <w:spacing w:val="-3"/>
          <w:sz w:val="21"/>
          <w:szCs w:val="21"/>
          <w:lang w:val="en-US" w:eastAsia="zh-CN"/>
        </w:rPr>
      </w:pPr>
      <w:bookmarkStart w:id="109" w:name="_Toc1560"/>
      <w:bookmarkStart w:id="110" w:name="_Toc7794"/>
      <w:bookmarkStart w:id="111" w:name="_Toc26557"/>
      <w:r>
        <w:rPr>
          <w:rFonts w:hint="eastAsia" w:ascii="Times New Roman" w:hAnsi="Times New Roman" w:eastAsia="宋体" w:cs="Times New Roman"/>
          <w:spacing w:val="-3"/>
          <w:sz w:val="21"/>
          <w:szCs w:val="21"/>
          <w:lang w:val="en-US" w:eastAsia="zh-CN"/>
        </w:rPr>
        <w:t>制度保障：食品实验室具备数字化管理相关的操作规范、数据管理规则和信息安全要求，为管理过程提供标准化支持。</w:t>
      </w:r>
    </w:p>
    <w:p w14:paraId="027B9F7A">
      <w:pPr>
        <w:keepNext w:val="0"/>
        <w:keepLines w:val="0"/>
        <w:pageBreakBefore w:val="0"/>
        <w:widowControl/>
        <w:kinsoku w:val="0"/>
        <w:wordWrap/>
        <w:overflowPunct/>
        <w:topLinePunct w:val="0"/>
        <w:autoSpaceDE/>
        <w:autoSpaceDN/>
        <w:bidi w:val="0"/>
        <w:adjustRightInd w:val="0"/>
        <w:snapToGrid w:val="0"/>
        <w:spacing w:beforeLines="-2147483648" w:after="0" w:afterLines="0" w:line="240" w:lineRule="auto"/>
        <w:ind w:firstLine="414" w:firstLineChars="200"/>
        <w:jc w:val="left"/>
        <w:textAlignment w:val="baseline"/>
        <w:outlineLvl w:val="9"/>
        <w:rPr>
          <w:rFonts w:hint="eastAsia" w:ascii="黑体" w:hAnsi="Times New Roman" w:eastAsia="黑体" w:cs="Times New Roman"/>
          <w:sz w:val="21"/>
          <w:szCs w:val="21"/>
          <w:lang w:val="en-US" w:eastAsia="zh-CN"/>
        </w:rPr>
      </w:pPr>
      <w:r>
        <w:rPr>
          <w:rFonts w:hint="eastAsia" w:ascii="Times New Roman" w:hAnsi="Times New Roman" w:eastAsia="宋体" w:cs="Times New Roman"/>
          <w:spacing w:val="-3"/>
          <w:sz w:val="21"/>
          <w:szCs w:val="21"/>
          <w:lang w:val="en-US" w:eastAsia="zh-CN"/>
        </w:rPr>
        <w:t>组织架构：食品实验室设置信息化系统管理专员和数据分析与安全保障岗位，形成系统运行的多层次支持体系，确保数字化管理的有序实施。</w:t>
      </w:r>
    </w:p>
    <w:bookmarkEnd w:id="109"/>
    <w:bookmarkEnd w:id="110"/>
    <w:bookmarkEnd w:id="111"/>
    <w:p w14:paraId="1BDF4B05">
      <w:pPr>
        <w:pStyle w:val="41"/>
        <w:keepNext w:val="0"/>
        <w:keepLines w:val="0"/>
        <w:pageBreakBefore w:val="0"/>
        <w:widowControl/>
        <w:kinsoku/>
        <w:wordWrap/>
        <w:overflowPunct/>
        <w:topLinePunct w:val="0"/>
        <w:autoSpaceDE/>
        <w:autoSpaceDN/>
        <w:bidi w:val="0"/>
        <w:adjustRightInd w:val="0"/>
        <w:snapToGrid w:val="0"/>
        <w:spacing w:before="196" w:beforeLines="50" w:after="196" w:afterLines="50" w:line="240" w:lineRule="auto"/>
        <w:ind w:left="0"/>
        <w:textAlignment w:val="auto"/>
        <w:outlineLvl w:val="1"/>
        <w:rPr>
          <w:rFonts w:hint="default" w:ascii="黑体" w:hAnsi="Times New Roman" w:eastAsia="黑体" w:cs="Times New Roman"/>
          <w:sz w:val="21"/>
          <w:lang w:val="en-US" w:eastAsia="zh-CN"/>
        </w:rPr>
      </w:pPr>
      <w:bookmarkStart w:id="112" w:name="_Toc30401"/>
      <w:bookmarkStart w:id="113" w:name="_Toc22155"/>
      <w:bookmarkStart w:id="114" w:name="_Toc19465"/>
      <w:bookmarkStart w:id="115" w:name="_Toc21771"/>
      <w:bookmarkStart w:id="116" w:name="_Toc27670"/>
      <w:r>
        <w:rPr>
          <w:rFonts w:hint="eastAsia" w:cs="Times New Roman"/>
          <w:lang w:val="en-US" w:eastAsia="zh-CN"/>
        </w:rPr>
        <w:t>5.2</w:t>
      </w:r>
      <w:r>
        <w:rPr>
          <w:rFonts w:hint="eastAsia" w:hAnsi="Times New Roman" w:cs="Times New Roman"/>
        </w:rPr>
        <w:t>　信息化系统</w:t>
      </w:r>
      <w:bookmarkEnd w:id="112"/>
      <w:bookmarkEnd w:id="113"/>
    </w:p>
    <w:bookmarkEnd w:id="114"/>
    <w:bookmarkEnd w:id="115"/>
    <w:bookmarkEnd w:id="116"/>
    <w:p w14:paraId="61234DCF">
      <w:pPr>
        <w:keepNext w:val="0"/>
        <w:keepLines w:val="0"/>
        <w:pageBreakBefore w:val="0"/>
        <w:widowControl/>
        <w:numPr>
          <w:ilvl w:val="-1"/>
          <w:numId w:val="0"/>
        </w:numPr>
        <w:suppressLineNumbers w:val="0"/>
        <w:kinsoku w:val="0"/>
        <w:wordWrap/>
        <w:overflowPunct/>
        <w:topLinePunct w:val="0"/>
        <w:autoSpaceDE/>
        <w:autoSpaceDN/>
        <w:bidi w:val="0"/>
        <w:adjustRightInd w:val="0"/>
        <w:snapToGrid w:val="0"/>
        <w:spacing w:before="0" w:beforeAutospacing="0" w:after="0" w:afterLines="0" w:afterAutospacing="0" w:line="240" w:lineRule="auto"/>
        <w:ind w:left="0" w:firstLine="414" w:firstLineChars="200"/>
        <w:textAlignment w:val="baseline"/>
        <w:rPr>
          <w:rFonts w:hint="default" w:ascii="Times New Roman" w:hAnsi="Times New Roman" w:eastAsia="宋体" w:cs="Times New Roman"/>
          <w:spacing w:val="-3"/>
          <w:sz w:val="21"/>
          <w:szCs w:val="21"/>
          <w:lang w:eastAsia="zh-CN"/>
        </w:rPr>
      </w:pPr>
      <w:r>
        <w:rPr>
          <w:rFonts w:hint="eastAsia" w:ascii="Times New Roman" w:hAnsi="Times New Roman" w:eastAsia="宋体" w:cs="Times New Roman"/>
          <w:spacing w:val="-3"/>
          <w:sz w:val="21"/>
          <w:szCs w:val="21"/>
          <w:lang w:val="en-US" w:eastAsia="zh-CN"/>
        </w:rPr>
        <w:t>食品实验室具备开展数字化管理所需的信息化系统，系统能支撑</w:t>
      </w:r>
      <w:r>
        <w:rPr>
          <w:rFonts w:hint="default" w:ascii="Times New Roman" w:hAnsi="Times New Roman" w:eastAsia="宋体" w:cs="Times New Roman"/>
          <w:spacing w:val="-3"/>
          <w:sz w:val="21"/>
          <w:szCs w:val="21"/>
          <w:lang w:eastAsia="zh-CN"/>
        </w:rPr>
        <w:t>食品实验室的日常运营，</w:t>
      </w:r>
      <w:r>
        <w:rPr>
          <w:rFonts w:hint="eastAsia" w:ascii="Times New Roman" w:hAnsi="Times New Roman" w:eastAsia="宋体" w:cs="Times New Roman"/>
          <w:spacing w:val="-3"/>
          <w:sz w:val="21"/>
          <w:szCs w:val="21"/>
          <w:lang w:val="en-US" w:eastAsia="zh-CN"/>
        </w:rPr>
        <w:t>至少</w:t>
      </w:r>
      <w:r>
        <w:rPr>
          <w:rFonts w:hint="default" w:ascii="Times New Roman" w:hAnsi="Times New Roman" w:eastAsia="宋体" w:cs="Times New Roman"/>
          <w:spacing w:val="-3"/>
          <w:sz w:val="21"/>
          <w:szCs w:val="21"/>
          <w:lang w:eastAsia="zh-CN"/>
        </w:rPr>
        <w:t>涵盖</w:t>
      </w:r>
      <w:r>
        <w:rPr>
          <w:rFonts w:hint="eastAsia" w:ascii="Times New Roman" w:hAnsi="Times New Roman" w:eastAsia="宋体" w:cs="Times New Roman"/>
          <w:spacing w:val="-3"/>
          <w:sz w:val="21"/>
          <w:szCs w:val="21"/>
          <w:lang w:val="en-US" w:eastAsia="zh-CN"/>
        </w:rPr>
        <w:t>报告管理</w:t>
      </w:r>
      <w:r>
        <w:rPr>
          <w:rFonts w:hint="default" w:ascii="Times New Roman" w:hAnsi="Times New Roman" w:eastAsia="宋体" w:cs="Times New Roman"/>
          <w:spacing w:val="-3"/>
          <w:sz w:val="21"/>
          <w:szCs w:val="21"/>
          <w:lang w:eastAsia="zh-CN"/>
        </w:rPr>
        <w:t>、资源配置管理内容。</w:t>
      </w:r>
    </w:p>
    <w:p w14:paraId="5CBE0496">
      <w:pPr>
        <w:keepNext w:val="0"/>
        <w:keepLines w:val="0"/>
        <w:pageBreakBefore w:val="0"/>
        <w:widowControl/>
        <w:numPr>
          <w:ilvl w:val="-1"/>
          <w:numId w:val="0"/>
        </w:numPr>
        <w:suppressLineNumbers w:val="0"/>
        <w:kinsoku w:val="0"/>
        <w:wordWrap/>
        <w:overflowPunct/>
        <w:topLinePunct w:val="0"/>
        <w:autoSpaceDE/>
        <w:autoSpaceDN/>
        <w:bidi w:val="0"/>
        <w:adjustRightInd w:val="0"/>
        <w:snapToGrid w:val="0"/>
        <w:spacing w:before="0" w:beforeAutospacing="0" w:after="0" w:afterLines="0" w:afterAutospacing="0" w:line="240" w:lineRule="auto"/>
        <w:ind w:left="0" w:firstLine="414" w:firstLineChars="2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信息化系统宜具备数据审计及日志管理等功能，以提高业务的规范性和管理的合规性。</w:t>
      </w:r>
    </w:p>
    <w:p w14:paraId="3E2A02EB">
      <w:pPr>
        <w:keepNext w:val="0"/>
        <w:keepLines w:val="0"/>
        <w:pageBreakBefore w:val="0"/>
        <w:widowControl/>
        <w:numPr>
          <w:ilvl w:val="-1"/>
          <w:numId w:val="0"/>
        </w:numPr>
        <w:suppressLineNumbers w:val="0"/>
        <w:kinsoku w:val="0"/>
        <w:wordWrap/>
        <w:overflowPunct/>
        <w:topLinePunct w:val="0"/>
        <w:autoSpaceDE/>
        <w:autoSpaceDN/>
        <w:bidi w:val="0"/>
        <w:adjustRightInd w:val="0"/>
        <w:snapToGrid w:val="0"/>
        <w:spacing w:before="0" w:beforeAutospacing="0" w:after="0" w:afterLines="0" w:afterAutospacing="0" w:line="240" w:lineRule="auto"/>
        <w:ind w:left="0" w:firstLine="414" w:firstLineChars="200"/>
        <w:textAlignment w:val="baseline"/>
        <w:rPr>
          <w:rFonts w:hint="default" w:ascii="Times New Roman" w:hAnsi="Times New Roman" w:eastAsia="宋体" w:cs="Times New Roman"/>
          <w:spacing w:val="-3"/>
          <w:sz w:val="21"/>
          <w:szCs w:val="21"/>
          <w:lang w:eastAsia="zh-CN"/>
        </w:rPr>
      </w:pPr>
      <w:r>
        <w:rPr>
          <w:rFonts w:hint="eastAsia" w:ascii="Times New Roman" w:hAnsi="Times New Roman" w:eastAsia="宋体" w:cs="Times New Roman"/>
          <w:spacing w:val="-3"/>
          <w:sz w:val="21"/>
          <w:szCs w:val="21"/>
          <w:lang w:val="en-US" w:eastAsia="zh-CN"/>
        </w:rPr>
        <w:t>信息化系统宜</w:t>
      </w:r>
      <w:r>
        <w:rPr>
          <w:rFonts w:hint="default" w:ascii="Times New Roman" w:hAnsi="Times New Roman" w:eastAsia="宋体" w:cs="Times New Roman"/>
          <w:spacing w:val="-3"/>
          <w:sz w:val="21"/>
          <w:szCs w:val="21"/>
          <w:lang w:eastAsia="zh-CN"/>
        </w:rPr>
        <w:t>具有良好的扩展性，能够根据</w:t>
      </w:r>
      <w:r>
        <w:rPr>
          <w:rFonts w:hint="eastAsia" w:ascii="Times New Roman" w:hAnsi="Times New Roman" w:eastAsia="宋体" w:cs="Times New Roman"/>
          <w:spacing w:val="-3"/>
          <w:sz w:val="21"/>
          <w:szCs w:val="21"/>
          <w:lang w:val="en-US" w:eastAsia="zh-CN"/>
        </w:rPr>
        <w:t>食品</w:t>
      </w:r>
      <w:r>
        <w:rPr>
          <w:rFonts w:hint="default" w:ascii="Times New Roman" w:hAnsi="Times New Roman" w:eastAsia="宋体" w:cs="Times New Roman"/>
          <w:spacing w:val="-3"/>
          <w:sz w:val="21"/>
          <w:szCs w:val="21"/>
          <w:lang w:eastAsia="zh-CN"/>
        </w:rPr>
        <w:t>实验室的不同业务需求，增设采购</w:t>
      </w:r>
      <w:r>
        <w:rPr>
          <w:rFonts w:hint="eastAsia" w:ascii="Times New Roman" w:hAnsi="Times New Roman" w:eastAsia="宋体" w:cs="Times New Roman"/>
          <w:spacing w:val="-3"/>
          <w:sz w:val="21"/>
          <w:szCs w:val="21"/>
          <w:lang w:val="en-US" w:eastAsia="zh-CN"/>
        </w:rPr>
        <w:t>管理</w:t>
      </w:r>
      <w:r>
        <w:rPr>
          <w:rFonts w:hint="default" w:ascii="Times New Roman" w:hAnsi="Times New Roman" w:eastAsia="宋体" w:cs="Times New Roman"/>
          <w:spacing w:val="-3"/>
          <w:sz w:val="21"/>
          <w:szCs w:val="21"/>
          <w:lang w:eastAsia="zh-CN"/>
        </w:rPr>
        <w:t>、财务</w:t>
      </w:r>
      <w:r>
        <w:rPr>
          <w:rFonts w:hint="eastAsia" w:ascii="Times New Roman" w:hAnsi="Times New Roman" w:eastAsia="宋体" w:cs="Times New Roman"/>
          <w:spacing w:val="-3"/>
          <w:sz w:val="21"/>
          <w:szCs w:val="21"/>
          <w:lang w:val="en-US" w:eastAsia="zh-CN"/>
        </w:rPr>
        <w:t>管理</w:t>
      </w:r>
      <w:r>
        <w:rPr>
          <w:rFonts w:hint="default" w:ascii="Times New Roman" w:hAnsi="Times New Roman" w:eastAsia="宋体" w:cs="Times New Roman"/>
          <w:spacing w:val="-3"/>
          <w:sz w:val="21"/>
          <w:szCs w:val="21"/>
          <w:lang w:eastAsia="zh-CN"/>
        </w:rPr>
        <w:t>、客户</w:t>
      </w:r>
      <w:r>
        <w:rPr>
          <w:rFonts w:hint="eastAsia" w:ascii="Times New Roman" w:hAnsi="Times New Roman" w:eastAsia="宋体" w:cs="Times New Roman"/>
          <w:spacing w:val="-3"/>
          <w:sz w:val="21"/>
          <w:szCs w:val="21"/>
          <w:lang w:val="en-US" w:eastAsia="zh-CN"/>
        </w:rPr>
        <w:t>管理</w:t>
      </w:r>
      <w:r>
        <w:rPr>
          <w:rFonts w:hint="default" w:ascii="Times New Roman" w:hAnsi="Times New Roman" w:eastAsia="宋体" w:cs="Times New Roman"/>
          <w:spacing w:val="-3"/>
          <w:sz w:val="21"/>
          <w:szCs w:val="21"/>
          <w:lang w:eastAsia="zh-CN"/>
        </w:rPr>
        <w:t>等模块，以支持多样化的业务场景。</w:t>
      </w:r>
    </w:p>
    <w:p w14:paraId="7F20275F">
      <w:pPr>
        <w:keepNext w:val="0"/>
        <w:keepLines w:val="0"/>
        <w:pageBreakBefore w:val="0"/>
        <w:widowControl/>
        <w:numPr>
          <w:ilvl w:val="-1"/>
          <w:numId w:val="0"/>
        </w:numPr>
        <w:suppressLineNumbers w:val="0"/>
        <w:kinsoku w:val="0"/>
        <w:wordWrap/>
        <w:overflowPunct/>
        <w:topLinePunct w:val="0"/>
        <w:autoSpaceDE/>
        <w:autoSpaceDN/>
        <w:bidi w:val="0"/>
        <w:adjustRightInd w:val="0"/>
        <w:snapToGrid w:val="0"/>
        <w:spacing w:before="0" w:beforeAutospacing="0" w:after="0" w:afterLines="0" w:afterAutospacing="0" w:line="240" w:lineRule="auto"/>
        <w:ind w:left="0" w:firstLine="414" w:firstLineChars="200"/>
        <w:textAlignment w:val="baseline"/>
        <w:rPr>
          <w:rFonts w:hint="default" w:ascii="Times New Roman" w:hAnsi="Times New Roman" w:eastAsia="宋体" w:cs="Times New Roman"/>
          <w:spacing w:val="-3"/>
          <w:sz w:val="21"/>
          <w:szCs w:val="21"/>
          <w:lang w:eastAsia="zh-CN"/>
        </w:rPr>
      </w:pPr>
      <w:r>
        <w:rPr>
          <w:rFonts w:hint="eastAsia" w:ascii="Times New Roman" w:hAnsi="Times New Roman" w:eastAsia="宋体" w:cs="Times New Roman"/>
          <w:spacing w:val="-3"/>
          <w:sz w:val="21"/>
          <w:szCs w:val="21"/>
          <w:lang w:val="en-US" w:eastAsia="zh-CN"/>
        </w:rPr>
        <w:t>信息化</w:t>
      </w:r>
      <w:r>
        <w:rPr>
          <w:rFonts w:hint="default" w:ascii="Times New Roman" w:hAnsi="Times New Roman" w:eastAsia="宋体" w:cs="Times New Roman"/>
          <w:spacing w:val="-3"/>
          <w:sz w:val="21"/>
          <w:szCs w:val="21"/>
          <w:lang w:eastAsia="zh-CN"/>
        </w:rPr>
        <w:t>系统</w:t>
      </w:r>
      <w:r>
        <w:rPr>
          <w:rFonts w:hint="eastAsia" w:ascii="Times New Roman" w:hAnsi="Times New Roman" w:eastAsia="宋体" w:cs="Times New Roman"/>
          <w:spacing w:val="-3"/>
          <w:sz w:val="21"/>
          <w:szCs w:val="21"/>
          <w:lang w:val="en-US" w:eastAsia="zh-CN"/>
        </w:rPr>
        <w:t>具有</w:t>
      </w:r>
      <w:r>
        <w:rPr>
          <w:rFonts w:hint="default" w:ascii="Times New Roman" w:hAnsi="Times New Roman" w:eastAsia="宋体" w:cs="Times New Roman"/>
          <w:spacing w:val="-3"/>
          <w:sz w:val="21"/>
          <w:szCs w:val="21"/>
          <w:lang w:eastAsia="zh-CN"/>
        </w:rPr>
        <w:t>备份机制，包括完全备份、增量备份和差异备份，确保数据的可恢复性，且具备数据恢复验证记录</w:t>
      </w:r>
      <w:r>
        <w:rPr>
          <w:rFonts w:hint="eastAsia" w:ascii="Times New Roman" w:hAnsi="Times New Roman" w:eastAsia="宋体" w:cs="Times New Roman"/>
          <w:spacing w:val="-3"/>
          <w:sz w:val="21"/>
          <w:szCs w:val="21"/>
          <w:lang w:eastAsia="zh-CN"/>
        </w:rPr>
        <w:t>，</w:t>
      </w:r>
      <w:r>
        <w:rPr>
          <w:rFonts w:hint="default" w:ascii="Times New Roman" w:hAnsi="Times New Roman" w:eastAsia="宋体" w:cs="Times New Roman"/>
          <w:spacing w:val="-3"/>
          <w:sz w:val="21"/>
          <w:szCs w:val="21"/>
          <w:lang w:eastAsia="zh-CN"/>
        </w:rPr>
        <w:t>数据备份</w:t>
      </w:r>
      <w:r>
        <w:rPr>
          <w:rFonts w:hint="eastAsia" w:ascii="Times New Roman" w:hAnsi="Times New Roman" w:eastAsia="宋体" w:cs="Times New Roman"/>
          <w:spacing w:val="-3"/>
          <w:sz w:val="21"/>
          <w:szCs w:val="21"/>
          <w:lang w:val="en-US" w:eastAsia="zh-CN"/>
        </w:rPr>
        <w:t>期限不少于</w:t>
      </w:r>
      <w:r>
        <w:rPr>
          <w:rFonts w:hint="default" w:ascii="Times New Roman" w:hAnsi="Times New Roman" w:eastAsia="宋体" w:cs="Times New Roman"/>
          <w:spacing w:val="-3"/>
          <w:sz w:val="21"/>
          <w:szCs w:val="21"/>
          <w:lang w:eastAsia="zh-CN"/>
        </w:rPr>
        <w:t>6年。系统</w:t>
      </w:r>
      <w:r>
        <w:rPr>
          <w:rFonts w:hint="eastAsia" w:ascii="Times New Roman" w:hAnsi="Times New Roman" w:eastAsia="宋体" w:cs="Times New Roman"/>
          <w:spacing w:val="-3"/>
          <w:sz w:val="21"/>
          <w:szCs w:val="21"/>
          <w:lang w:val="en-US" w:eastAsia="zh-CN"/>
        </w:rPr>
        <w:t>能实现</w:t>
      </w:r>
      <w:r>
        <w:rPr>
          <w:rFonts w:hint="default" w:ascii="Times New Roman" w:hAnsi="Times New Roman" w:eastAsia="宋体" w:cs="Times New Roman"/>
          <w:spacing w:val="-3"/>
          <w:sz w:val="21"/>
          <w:szCs w:val="21"/>
          <w:lang w:eastAsia="zh-CN"/>
        </w:rPr>
        <w:t>多平台支持，并提供多种数据交换接口，以满足数据交换的格式要求。</w:t>
      </w:r>
    </w:p>
    <w:p w14:paraId="1BB3B021">
      <w:pPr>
        <w:keepNext w:val="0"/>
        <w:keepLines w:val="0"/>
        <w:pageBreakBefore w:val="0"/>
        <w:widowControl/>
        <w:numPr>
          <w:ilvl w:val="-1"/>
          <w:numId w:val="0"/>
        </w:numPr>
        <w:suppressLineNumbers w:val="0"/>
        <w:kinsoku w:val="0"/>
        <w:wordWrap/>
        <w:overflowPunct/>
        <w:topLinePunct w:val="0"/>
        <w:autoSpaceDE/>
        <w:autoSpaceDN/>
        <w:bidi w:val="0"/>
        <w:adjustRightInd w:val="0"/>
        <w:snapToGrid w:val="0"/>
        <w:spacing w:before="0" w:beforeAutospacing="0" w:after="0" w:afterLines="0" w:afterAutospacing="0" w:line="240" w:lineRule="auto"/>
        <w:ind w:left="0" w:firstLine="414" w:firstLineChars="200"/>
        <w:textAlignment w:val="baseline"/>
        <w:rPr>
          <w:rFonts w:hint="default" w:ascii="Times New Roman" w:hAnsi="Times New Roman" w:eastAsia="宋体" w:cs="Times New Roman"/>
          <w:spacing w:val="-3"/>
          <w:sz w:val="21"/>
          <w:szCs w:val="21"/>
          <w:lang w:eastAsia="zh-CN"/>
        </w:rPr>
      </w:pPr>
      <w:r>
        <w:rPr>
          <w:rFonts w:hint="eastAsia" w:ascii="Times New Roman" w:hAnsi="Times New Roman" w:eastAsia="宋体" w:cs="Times New Roman"/>
          <w:spacing w:val="-3"/>
          <w:sz w:val="21"/>
          <w:szCs w:val="21"/>
          <w:lang w:val="en-US" w:eastAsia="zh-CN"/>
        </w:rPr>
        <w:t>信息化</w:t>
      </w:r>
      <w:r>
        <w:rPr>
          <w:rFonts w:hint="default" w:ascii="Times New Roman" w:hAnsi="Times New Roman" w:eastAsia="宋体" w:cs="Times New Roman"/>
          <w:spacing w:val="-3"/>
          <w:sz w:val="21"/>
          <w:szCs w:val="21"/>
          <w:lang w:eastAsia="zh-CN"/>
        </w:rPr>
        <w:t>系统的响应时间</w:t>
      </w:r>
      <w:r>
        <w:rPr>
          <w:rFonts w:hint="eastAsia" w:ascii="Times New Roman" w:hAnsi="Times New Roman" w:eastAsia="宋体" w:cs="Times New Roman"/>
          <w:spacing w:val="-3"/>
          <w:sz w:val="21"/>
          <w:szCs w:val="21"/>
          <w:lang w:val="en-US" w:eastAsia="zh-CN"/>
        </w:rPr>
        <w:t>不宜</w:t>
      </w:r>
      <w:r>
        <w:rPr>
          <w:rFonts w:hint="default" w:ascii="Times New Roman" w:hAnsi="Times New Roman" w:eastAsia="宋体" w:cs="Times New Roman"/>
          <w:spacing w:val="-3"/>
          <w:sz w:val="21"/>
          <w:szCs w:val="21"/>
          <w:lang w:eastAsia="zh-CN"/>
        </w:rPr>
        <w:t>超过2秒，数据录入</w:t>
      </w:r>
      <w:r>
        <w:rPr>
          <w:rFonts w:hint="eastAsia" w:ascii="Times New Roman" w:hAnsi="Times New Roman" w:eastAsia="宋体" w:cs="Times New Roman"/>
          <w:spacing w:val="-3"/>
          <w:sz w:val="21"/>
          <w:szCs w:val="21"/>
          <w:lang w:val="en-US" w:eastAsia="zh-CN"/>
        </w:rPr>
        <w:t>提交时</w:t>
      </w:r>
      <w:r>
        <w:rPr>
          <w:rFonts w:hint="default" w:ascii="Times New Roman" w:hAnsi="Times New Roman" w:eastAsia="宋体" w:cs="Times New Roman"/>
          <w:spacing w:val="-3"/>
          <w:sz w:val="21"/>
          <w:szCs w:val="21"/>
          <w:lang w:eastAsia="zh-CN"/>
        </w:rPr>
        <w:t>间不</w:t>
      </w:r>
      <w:r>
        <w:rPr>
          <w:rFonts w:hint="eastAsia" w:ascii="Times New Roman" w:hAnsi="Times New Roman" w:eastAsia="宋体" w:cs="Times New Roman"/>
          <w:spacing w:val="-3"/>
          <w:sz w:val="21"/>
          <w:szCs w:val="21"/>
          <w:lang w:val="en-US" w:eastAsia="zh-CN"/>
        </w:rPr>
        <w:t>宜</w:t>
      </w:r>
      <w:r>
        <w:rPr>
          <w:rFonts w:hint="default" w:ascii="Times New Roman" w:hAnsi="Times New Roman" w:eastAsia="宋体" w:cs="Times New Roman"/>
          <w:spacing w:val="-3"/>
          <w:sz w:val="21"/>
          <w:szCs w:val="21"/>
          <w:lang w:eastAsia="zh-CN"/>
        </w:rPr>
        <w:t>超过5秒，查询操作的响应时间不</w:t>
      </w:r>
      <w:r>
        <w:rPr>
          <w:rFonts w:hint="eastAsia" w:ascii="Times New Roman" w:hAnsi="Times New Roman" w:eastAsia="宋体" w:cs="Times New Roman"/>
          <w:spacing w:val="-3"/>
          <w:sz w:val="21"/>
          <w:szCs w:val="21"/>
          <w:lang w:val="en-US" w:eastAsia="zh-CN"/>
        </w:rPr>
        <w:t>宜</w:t>
      </w:r>
      <w:r>
        <w:rPr>
          <w:rFonts w:hint="default" w:ascii="Times New Roman" w:hAnsi="Times New Roman" w:eastAsia="宋体" w:cs="Times New Roman"/>
          <w:spacing w:val="-3"/>
          <w:sz w:val="21"/>
          <w:szCs w:val="21"/>
          <w:lang w:eastAsia="zh-CN"/>
        </w:rPr>
        <w:t>超过5秒，特殊数据反馈时间不</w:t>
      </w:r>
      <w:r>
        <w:rPr>
          <w:rFonts w:hint="eastAsia" w:ascii="Times New Roman" w:hAnsi="Times New Roman" w:eastAsia="宋体" w:cs="Times New Roman"/>
          <w:spacing w:val="-3"/>
          <w:sz w:val="21"/>
          <w:szCs w:val="21"/>
          <w:lang w:val="en-US" w:eastAsia="zh-CN"/>
        </w:rPr>
        <w:t>宜</w:t>
      </w:r>
      <w:r>
        <w:rPr>
          <w:rFonts w:hint="default" w:ascii="Times New Roman" w:hAnsi="Times New Roman" w:eastAsia="宋体" w:cs="Times New Roman"/>
          <w:spacing w:val="-3"/>
          <w:sz w:val="21"/>
          <w:szCs w:val="21"/>
          <w:lang w:eastAsia="zh-CN"/>
        </w:rPr>
        <w:t>超过8秒。</w:t>
      </w:r>
    </w:p>
    <w:p w14:paraId="3FFB7CD2">
      <w:pPr>
        <w:pStyle w:val="41"/>
        <w:adjustRightInd w:val="0"/>
        <w:snapToGrid w:val="0"/>
        <w:spacing w:before="196" w:beforeLines="50" w:after="196" w:afterLines="50" w:line="240" w:lineRule="auto"/>
        <w:ind w:left="0"/>
        <w:outlineLvl w:val="1"/>
        <w:rPr>
          <w:rFonts w:hint="eastAsia" w:ascii="黑体" w:hAnsi="Times New Roman" w:eastAsia="黑体" w:cs="Times New Roman"/>
          <w:sz w:val="21"/>
          <w:lang w:val="en-US" w:eastAsia="zh-CN"/>
        </w:rPr>
      </w:pPr>
      <w:bookmarkStart w:id="117" w:name="_Toc30153"/>
      <w:bookmarkStart w:id="118" w:name="_Toc30614"/>
      <w:bookmarkStart w:id="119" w:name="_Toc30072"/>
      <w:bookmarkStart w:id="120" w:name="_Toc8503"/>
      <w:bookmarkStart w:id="121" w:name="_Toc3007"/>
      <w:r>
        <w:rPr>
          <w:rFonts w:hint="eastAsia" w:cs="Times New Roman"/>
          <w:lang w:val="en-US" w:eastAsia="zh-CN"/>
        </w:rPr>
        <w:t>5.3</w:t>
      </w:r>
      <w:r>
        <w:rPr>
          <w:rFonts w:hint="eastAsia" w:hAnsi="Times New Roman" w:cs="Times New Roman"/>
        </w:rPr>
        <w:t>　</w:t>
      </w:r>
      <w:r>
        <w:rPr>
          <w:rFonts w:hint="eastAsia" w:ascii="黑体" w:hAnsi="Times New Roman" w:eastAsia="黑体" w:cs="Times New Roman"/>
          <w:sz w:val="21"/>
          <w:szCs w:val="24"/>
          <w:lang w:val="en-US" w:eastAsia="zh-CN"/>
        </w:rPr>
        <w:t>硬件设施</w:t>
      </w:r>
      <w:bookmarkEnd w:id="117"/>
      <w:bookmarkEnd w:id="118"/>
    </w:p>
    <w:bookmarkEnd w:id="119"/>
    <w:bookmarkEnd w:id="120"/>
    <w:bookmarkEnd w:id="121"/>
    <w:p w14:paraId="7AB227A6">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支撑食品实验室数字化管理的硬件设施包括计算机设备、网络设备、实验室物联设备：</w:t>
      </w:r>
    </w:p>
    <w:p w14:paraId="481F4AA0">
      <w:pPr>
        <w:keepNext w:val="0"/>
        <w:keepLines w:val="0"/>
        <w:pageBreakBefore w:val="0"/>
        <w:widowControl/>
        <w:kinsoku w:val="0"/>
        <w:wordWrap/>
        <w:overflowPunct/>
        <w:topLinePunct w:val="0"/>
        <w:autoSpaceDE/>
        <w:autoSpaceDN/>
        <w:bidi w:val="0"/>
        <w:adjustRightInd/>
        <w:snapToGrid w:val="0"/>
        <w:spacing w:before="0" w:after="0" w:afterLines="0" w:line="240" w:lineRule="auto"/>
        <w:ind w:left="1045" w:leftChars="150" w:hanging="621" w:hangingChars="3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 xml:space="preserve">——  </w:t>
      </w:r>
      <w:r>
        <w:rPr>
          <w:rFonts w:hint="default" w:ascii="Times New Roman" w:hAnsi="Times New Roman" w:eastAsia="宋体" w:cs="Times New Roman"/>
          <w:spacing w:val="-3"/>
          <w:sz w:val="21"/>
          <w:szCs w:val="21"/>
          <w:lang w:val="en-US" w:eastAsia="zh-CN"/>
        </w:rPr>
        <w:t>计算机设备包括但不限于iPad、服务器、存储设备等，支持数据的采集、处理、传输和应急管理。</w:t>
      </w:r>
    </w:p>
    <w:p w14:paraId="0CAB7CBE">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计算机设备符合实验室操作需求，确保数据处理能力和稳定性，避免因设备故障影响实验室工作。</w:t>
      </w:r>
    </w:p>
    <w:p w14:paraId="3272796F">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存储设备支持大容量数据存储，并确保数据的安全性与备份要求（至少备份6年）。</w:t>
      </w:r>
    </w:p>
    <w:p w14:paraId="32A7CDE7">
      <w:pPr>
        <w:keepNext w:val="0"/>
        <w:keepLines w:val="0"/>
        <w:pageBreakBefore w:val="0"/>
        <w:widowControl/>
        <w:kinsoku w:val="0"/>
        <w:wordWrap/>
        <w:overflowPunct/>
        <w:topLinePunct w:val="0"/>
        <w:autoSpaceDE/>
        <w:autoSpaceDN/>
        <w:bidi w:val="0"/>
        <w:adjustRightInd/>
        <w:snapToGrid w:val="0"/>
        <w:spacing w:before="0" w:after="0" w:afterLines="0" w:line="240" w:lineRule="auto"/>
        <w:ind w:left="1045" w:leftChars="150" w:hanging="621" w:hangingChars="3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 xml:space="preserve">——  </w:t>
      </w:r>
      <w:r>
        <w:rPr>
          <w:rFonts w:hint="default" w:ascii="Times New Roman" w:hAnsi="Times New Roman" w:eastAsia="宋体" w:cs="Times New Roman"/>
          <w:spacing w:val="-3"/>
          <w:sz w:val="21"/>
          <w:szCs w:val="21"/>
          <w:lang w:val="en-US" w:eastAsia="zh-CN"/>
        </w:rPr>
        <w:t>网络设备包括但不限于路由器、交换机、防火墙等设备，确保实验室内部网络的稳定运行及与外部系统的数据传输。</w:t>
      </w:r>
    </w:p>
    <w:p w14:paraId="6135E81C">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网络设备保证高带宽、低延迟的稳定连接，支持大数据量的实时传输。</w:t>
      </w:r>
    </w:p>
    <w:p w14:paraId="67035CD6">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所有网络设备具备安全防护措施，避免外部入侵和数据</w:t>
      </w:r>
      <w:r>
        <w:rPr>
          <w:rFonts w:hint="eastAsia" w:ascii="Times New Roman" w:hAnsi="Times New Roman" w:eastAsia="宋体" w:cs="Times New Roman"/>
          <w:spacing w:val="-3"/>
          <w:sz w:val="21"/>
          <w:szCs w:val="21"/>
          <w:lang w:val="en-US" w:eastAsia="zh-CN"/>
        </w:rPr>
        <w:t>泄漏</w:t>
      </w:r>
      <w:r>
        <w:rPr>
          <w:rFonts w:hint="default" w:ascii="Times New Roman" w:hAnsi="Times New Roman" w:eastAsia="宋体" w:cs="Times New Roman"/>
          <w:spacing w:val="-3"/>
          <w:sz w:val="21"/>
          <w:szCs w:val="21"/>
          <w:lang w:val="en-US" w:eastAsia="zh-CN"/>
        </w:rPr>
        <w:t>风险。</w:t>
      </w:r>
    </w:p>
    <w:p w14:paraId="346C915D">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在实验室与外部网络连接时，采用虚拟局域网（VLAN）或其他隔离措施，确保设备安全。</w:t>
      </w:r>
    </w:p>
    <w:p w14:paraId="2001209B">
      <w:pPr>
        <w:keepNext w:val="0"/>
        <w:keepLines w:val="0"/>
        <w:pageBreakBefore w:val="0"/>
        <w:widowControl/>
        <w:kinsoku w:val="0"/>
        <w:wordWrap/>
        <w:overflowPunct/>
        <w:topLinePunct w:val="0"/>
        <w:autoSpaceDE/>
        <w:autoSpaceDN/>
        <w:bidi w:val="0"/>
        <w:adjustRightInd/>
        <w:snapToGrid w:val="0"/>
        <w:spacing w:before="0" w:after="0" w:afterLines="0" w:line="240" w:lineRule="auto"/>
        <w:ind w:left="1045" w:leftChars="150" w:hanging="621" w:hangingChars="3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 xml:space="preserve">——  </w:t>
      </w:r>
      <w:r>
        <w:rPr>
          <w:rFonts w:hint="default" w:ascii="Times New Roman" w:hAnsi="Times New Roman" w:eastAsia="宋体" w:cs="Times New Roman"/>
          <w:spacing w:val="-3"/>
          <w:sz w:val="21"/>
          <w:szCs w:val="21"/>
          <w:lang w:val="en-US" w:eastAsia="zh-CN"/>
        </w:rPr>
        <w:t>实验室设备物联网包括但不限于支持数据实时上传的物联网设备、检测仪器及其数据传输功能、环境监控设备（如温湿度传感器、气体监测设备等），用于实验室环境条件的数字化管理和设备状态监控。</w:t>
      </w:r>
    </w:p>
    <w:p w14:paraId="00ABA47E">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设备物联网</w:t>
      </w:r>
      <w:r>
        <w:rPr>
          <w:rFonts w:hint="eastAsia" w:ascii="Times New Roman" w:hAnsi="Times New Roman" w:eastAsia="宋体" w:cs="Times New Roman"/>
          <w:spacing w:val="-3"/>
          <w:sz w:val="21"/>
          <w:szCs w:val="21"/>
          <w:lang w:val="en-US" w:eastAsia="zh-CN"/>
        </w:rPr>
        <w:t>能</w:t>
      </w:r>
      <w:r>
        <w:rPr>
          <w:rFonts w:hint="default" w:ascii="Times New Roman" w:hAnsi="Times New Roman" w:eastAsia="宋体" w:cs="Times New Roman"/>
          <w:spacing w:val="-3"/>
          <w:sz w:val="21"/>
          <w:szCs w:val="21"/>
          <w:lang w:val="en-US" w:eastAsia="zh-CN"/>
        </w:rPr>
        <w:t>支持数据的实时上传和远程监控，确保设备状态和实验室环境实时可视化。</w:t>
      </w:r>
    </w:p>
    <w:p w14:paraId="584C0F11">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所有传感器设备具备准确性和可靠性，定期进行校准和性能检查，确保数据采集的精准性。</w:t>
      </w:r>
    </w:p>
    <w:p w14:paraId="16104C71">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left="1339" w:leftChars="400" w:hanging="207" w:hangingChars="1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环境监控设备能在极端条件下（如高温、湿度波动等）稳定工作，确保实验室环境条件符合实验要求。</w:t>
      </w:r>
    </w:p>
    <w:p w14:paraId="551ED00B">
      <w:pPr>
        <w:pStyle w:val="41"/>
        <w:keepNext w:val="0"/>
        <w:keepLines w:val="0"/>
        <w:pageBreakBefore w:val="0"/>
        <w:widowControl/>
        <w:kinsoku/>
        <w:wordWrap/>
        <w:overflowPunct/>
        <w:topLinePunct w:val="0"/>
        <w:autoSpaceDE/>
        <w:autoSpaceDN/>
        <w:bidi w:val="0"/>
        <w:adjustRightInd w:val="0"/>
        <w:snapToGrid w:val="0"/>
        <w:spacing w:before="196" w:beforeLines="50" w:after="196" w:afterLines="50" w:line="240" w:lineRule="auto"/>
        <w:ind w:left="0"/>
        <w:textAlignment w:val="auto"/>
        <w:outlineLvl w:val="1"/>
        <w:rPr>
          <w:rFonts w:hint="eastAsia" w:ascii="黑体" w:hAnsi="Times New Roman" w:eastAsia="黑体" w:cs="Times New Roman"/>
          <w:sz w:val="21"/>
          <w:lang w:val="en-US" w:eastAsia="zh-CN"/>
        </w:rPr>
      </w:pPr>
      <w:bookmarkStart w:id="122" w:name="_Toc12913"/>
      <w:bookmarkStart w:id="123" w:name="_Toc3145"/>
      <w:bookmarkStart w:id="124" w:name="_Toc32373"/>
      <w:bookmarkStart w:id="125" w:name="_Toc20104"/>
      <w:bookmarkStart w:id="126" w:name="_Toc15860"/>
      <w:r>
        <w:rPr>
          <w:rFonts w:hint="eastAsia" w:cs="Times New Roman"/>
          <w:lang w:val="en-US" w:eastAsia="zh-CN"/>
        </w:rPr>
        <w:t>5.4</w:t>
      </w:r>
      <w:r>
        <w:rPr>
          <w:rFonts w:hint="eastAsia" w:hAnsi="Times New Roman" w:cs="Times New Roman"/>
        </w:rPr>
        <w:t>　</w:t>
      </w:r>
      <w:r>
        <w:rPr>
          <w:rFonts w:hint="eastAsia" w:cs="Times New Roman"/>
          <w:lang w:val="en-US" w:eastAsia="zh-CN"/>
        </w:rPr>
        <w:t>数据资源</w:t>
      </w:r>
      <w:bookmarkEnd w:id="122"/>
      <w:bookmarkEnd w:id="123"/>
    </w:p>
    <w:bookmarkEnd w:id="124"/>
    <w:bookmarkEnd w:id="125"/>
    <w:bookmarkEnd w:id="126"/>
    <w:p w14:paraId="127CC948">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基础方法标准数据涵盖食品检测的相关标准和方法，作为数字化管理系统操作的基础和知识库，用于指导实验操作和结果评价。</w:t>
      </w:r>
    </w:p>
    <w:p w14:paraId="44F812E4">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实验室运营数据资源，如报告模板、原始记录模板、检测结果、报告、过程记录等，宜在信息化系统中进行建设和管理。</w:t>
      </w:r>
    </w:p>
    <w:bookmarkEnd w:id="100"/>
    <w:bookmarkEnd w:id="101"/>
    <w:bookmarkEnd w:id="102"/>
    <w:bookmarkEnd w:id="103"/>
    <w:bookmarkEnd w:id="104"/>
    <w:bookmarkEnd w:id="105"/>
    <w:bookmarkEnd w:id="106"/>
    <w:bookmarkEnd w:id="107"/>
    <w:p w14:paraId="04CD774F">
      <w:pPr>
        <w:pStyle w:val="41"/>
        <w:keepNext w:val="0"/>
        <w:keepLines w:val="0"/>
        <w:pageBreakBefore w:val="0"/>
        <w:widowControl/>
        <w:kinsoku/>
        <w:wordWrap/>
        <w:overflowPunct/>
        <w:topLinePunct w:val="0"/>
        <w:autoSpaceDE/>
        <w:autoSpaceDN/>
        <w:bidi w:val="0"/>
        <w:adjustRightInd w:val="0"/>
        <w:snapToGrid w:val="0"/>
        <w:spacing w:before="390" w:beforeLines="100" w:after="390" w:afterLines="100" w:line="240" w:lineRule="auto"/>
        <w:ind w:left="0"/>
        <w:jc w:val="left"/>
        <w:textAlignment w:val="auto"/>
        <w:outlineLvl w:val="0"/>
        <w:rPr>
          <w:rFonts w:hint="eastAsia" w:ascii="黑体" w:hAnsi="Times New Roman" w:eastAsia="黑体" w:cs="Times New Roman"/>
          <w:sz w:val="21"/>
          <w:lang w:val="en-US" w:eastAsia="zh-CN"/>
        </w:rPr>
      </w:pPr>
      <w:bookmarkStart w:id="127" w:name="_Toc28454"/>
      <w:bookmarkStart w:id="128" w:name="_Toc4991"/>
      <w:bookmarkStart w:id="129" w:name="_Toc27481"/>
      <w:bookmarkStart w:id="130" w:name="_Toc13215"/>
      <w:bookmarkStart w:id="131" w:name="_Toc7141"/>
      <w:bookmarkStart w:id="132" w:name="_Toc27652"/>
      <w:bookmarkStart w:id="133" w:name="_Toc21651"/>
      <w:bookmarkStart w:id="134" w:name="_Toc112953735"/>
      <w:bookmarkStart w:id="135" w:name="_Toc112838779"/>
      <w:bookmarkStart w:id="136" w:name="_Toc28010"/>
      <w:bookmarkStart w:id="137" w:name="_Toc112866427"/>
      <w:bookmarkStart w:id="138" w:name="_Toc112838624"/>
      <w:bookmarkStart w:id="139" w:name="_Toc14195"/>
      <w:bookmarkStart w:id="140" w:name="_Toc112839067"/>
      <w:bookmarkStart w:id="141" w:name="_Toc113028935"/>
      <w:r>
        <w:rPr>
          <w:rFonts w:hint="eastAsia" w:ascii="黑体" w:hAnsi="Times New Roman" w:eastAsia="黑体" w:cs="Times New Roman"/>
          <w:sz w:val="21"/>
          <w:lang w:val="en-US" w:eastAsia="zh-CN"/>
        </w:rPr>
        <w:t>6</w:t>
      </w:r>
      <w:r>
        <w:rPr>
          <w:rFonts w:hint="eastAsia" w:ascii="黑体" w:hAnsi="Times New Roman" w:eastAsia="黑体" w:cs="Times New Roman"/>
          <w:sz w:val="21"/>
        </w:rPr>
        <w:t>　C级</w:t>
      </w:r>
      <w:r>
        <w:rPr>
          <w:rFonts w:hint="eastAsia" w:ascii="黑体" w:hAnsi="Times New Roman" w:eastAsia="黑体" w:cs="Times New Roman"/>
          <w:sz w:val="21"/>
          <w:lang w:val="en-US" w:eastAsia="zh-CN"/>
        </w:rPr>
        <w:t>食品</w:t>
      </w:r>
      <w:r>
        <w:rPr>
          <w:rFonts w:hint="eastAsia" w:ascii="黑体" w:hAnsi="Times New Roman" w:eastAsia="黑体" w:cs="Times New Roman"/>
          <w:sz w:val="21"/>
        </w:rPr>
        <w:t>实验室</w:t>
      </w:r>
      <w:bookmarkEnd w:id="127"/>
      <w:r>
        <w:rPr>
          <w:rFonts w:hint="eastAsia" w:ascii="黑体" w:hAnsi="Times New Roman" w:eastAsia="黑体" w:cs="Times New Roman"/>
          <w:sz w:val="21"/>
          <w:lang w:val="en-US" w:eastAsia="zh-CN"/>
        </w:rPr>
        <w:t>数字化管理</w:t>
      </w:r>
      <w:bookmarkEnd w:id="128"/>
      <w:bookmarkEnd w:id="129"/>
      <w:bookmarkEnd w:id="130"/>
    </w:p>
    <w:bookmarkEnd w:id="131"/>
    <w:bookmarkEnd w:id="132"/>
    <w:bookmarkEnd w:id="133"/>
    <w:bookmarkEnd w:id="134"/>
    <w:bookmarkEnd w:id="135"/>
    <w:bookmarkEnd w:id="136"/>
    <w:bookmarkEnd w:id="137"/>
    <w:bookmarkEnd w:id="138"/>
    <w:bookmarkEnd w:id="139"/>
    <w:bookmarkEnd w:id="140"/>
    <w:bookmarkEnd w:id="141"/>
    <w:p w14:paraId="6807CFBD">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jc w:val="left"/>
        <w:textAlignment w:val="auto"/>
        <w:outlineLvl w:val="1"/>
        <w:rPr>
          <w:rFonts w:hint="default" w:ascii="黑体" w:hAnsi="Times New Roman" w:eastAsia="黑体" w:cs="Times New Roman"/>
          <w:sz w:val="21"/>
          <w:lang w:val="en-US" w:eastAsia="zh-CN"/>
        </w:rPr>
      </w:pPr>
      <w:bookmarkStart w:id="142" w:name="_Toc14518"/>
      <w:bookmarkStart w:id="143" w:name="_Toc112838625"/>
      <w:bookmarkStart w:id="144" w:name="_Toc112953736"/>
      <w:bookmarkStart w:id="145" w:name="_Toc20317"/>
      <w:bookmarkStart w:id="146" w:name="_Toc112838780"/>
      <w:r>
        <w:rPr>
          <w:rFonts w:hint="eastAsia" w:ascii="黑体" w:hAnsi="Times New Roman" w:eastAsia="黑体" w:cs="Times New Roman"/>
          <w:sz w:val="21"/>
          <w:lang w:val="en-US" w:eastAsia="zh-CN"/>
        </w:rPr>
        <w:t>6.1</w:t>
      </w:r>
      <w:r>
        <w:rPr>
          <w:rFonts w:hint="eastAsia" w:ascii="黑体" w:hAnsi="Times New Roman" w:eastAsia="黑体" w:cs="Times New Roman"/>
          <w:sz w:val="21"/>
        </w:rPr>
        <w:t>　</w:t>
      </w:r>
      <w:r>
        <w:rPr>
          <w:rFonts w:hint="eastAsia" w:ascii="黑体" w:hAnsi="Times New Roman" w:eastAsia="黑体" w:cs="Times New Roman"/>
          <w:sz w:val="21"/>
          <w:lang w:val="en-US" w:eastAsia="zh-CN"/>
        </w:rPr>
        <w:t>概述</w:t>
      </w:r>
      <w:bookmarkEnd w:id="142"/>
    </w:p>
    <w:p w14:paraId="5AA072C0">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jc w:val="left"/>
        <w:textAlignment w:val="baseline"/>
        <w:outlineLvl w:val="9"/>
        <w:rPr>
          <w:rFonts w:hint="eastAsia" w:ascii="黑体" w:hAnsi="Times New Roman" w:eastAsia="黑体" w:cs="Times New Roman"/>
          <w:sz w:val="21"/>
          <w:lang w:val="en-US" w:eastAsia="zh-CN"/>
        </w:rPr>
      </w:pPr>
      <w:r>
        <w:rPr>
          <w:rFonts w:hint="eastAsia" w:ascii="Times New Roman" w:hAnsi="Times New Roman" w:eastAsia="宋体" w:cs="Times New Roman"/>
          <w:spacing w:val="-3"/>
          <w:sz w:val="21"/>
          <w:szCs w:val="21"/>
          <w:lang w:val="en-US" w:eastAsia="zh-CN"/>
        </w:rPr>
        <w:t>C级食品实验室数字化管理是基础级别的实验室数字化管理，该级别的数字化管理满足人员、设备、物料、资质和样品的基本信息管理和报告记录自动化生成，实现实验室日常运营的基本数字化。</w:t>
      </w:r>
    </w:p>
    <w:p w14:paraId="3E95B9C3">
      <w:pPr>
        <w:keepNext w:val="0"/>
        <w:keepLines w:val="0"/>
        <w:pageBreakBefore w:val="0"/>
        <w:kinsoku/>
        <w:wordWrap/>
        <w:overflowPunct/>
        <w:topLinePunct w:val="0"/>
        <w:autoSpaceDE/>
        <w:autoSpaceDN/>
        <w:bidi w:val="0"/>
        <w:adjustRightInd w:val="0"/>
        <w:snapToGrid w:val="0"/>
        <w:spacing w:before="0" w:beforeLines="50" w:after="0" w:afterLines="50" w:line="240" w:lineRule="auto"/>
        <w:jc w:val="left"/>
        <w:textAlignment w:val="auto"/>
        <w:outlineLvl w:val="1"/>
        <w:rPr>
          <w:rFonts w:hint="default" w:ascii="黑体" w:hAnsi="Times New Roman" w:eastAsia="黑体" w:cs="Times New Roman"/>
          <w:sz w:val="21"/>
          <w:lang w:val="en-US" w:eastAsia="zh-CN"/>
        </w:rPr>
      </w:pPr>
      <w:bookmarkStart w:id="147" w:name="_Toc1947"/>
      <w:r>
        <w:rPr>
          <w:rFonts w:hint="eastAsia" w:ascii="黑体" w:hAnsi="Times New Roman" w:eastAsia="黑体" w:cs="Times New Roman"/>
          <w:sz w:val="21"/>
          <w:lang w:val="en-US" w:eastAsia="zh-CN"/>
        </w:rPr>
        <w:t>6.2</w:t>
      </w:r>
      <w:r>
        <w:rPr>
          <w:rFonts w:hint="eastAsia" w:ascii="黑体" w:hAnsi="Times New Roman" w:eastAsia="黑体" w:cs="Times New Roman"/>
          <w:sz w:val="21"/>
        </w:rPr>
        <w:t>　</w:t>
      </w:r>
      <w:r>
        <w:rPr>
          <w:rFonts w:hint="eastAsia" w:ascii="黑体" w:hAnsi="Times New Roman" w:eastAsia="黑体" w:cs="Times New Roman"/>
          <w:sz w:val="21"/>
          <w:lang w:val="en-US" w:eastAsia="zh-CN"/>
        </w:rPr>
        <w:t>人员管理</w:t>
      </w:r>
      <w:bookmarkEnd w:id="147"/>
    </w:p>
    <w:p w14:paraId="4375E2B3">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kern w:val="2"/>
          <w:sz w:val="21"/>
          <w:szCs w:val="21"/>
          <w:lang w:val="en-US" w:eastAsia="zh-CN" w:bidi="ar"/>
        </w:rPr>
        <w:t>实验室具备</w:t>
      </w:r>
      <w:r>
        <w:rPr>
          <w:rFonts w:hint="eastAsia" w:ascii="Times New Roman" w:hAnsi="Times New Roman" w:eastAsia="宋体" w:cs="Times New Roman"/>
          <w:spacing w:val="-3"/>
          <w:sz w:val="21"/>
          <w:szCs w:val="21"/>
          <w:lang w:val="en-US" w:eastAsia="zh-CN"/>
        </w:rPr>
        <w:t>人员信息管理登记电子档案，支持手动录入人员信息。</w:t>
      </w:r>
    </w:p>
    <w:p w14:paraId="0153FC98">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人员信息至少包括姓名、性别、年龄、职称、教育经历、工作经历、人员授权信息等。</w:t>
      </w:r>
    </w:p>
    <w:p w14:paraId="55151657">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shd w:val="clear" w:color="auto" w:fill="auto"/>
          <w:lang w:val="en-US" w:eastAsia="zh-CN"/>
        </w:rPr>
        <w:t>人员授权信息包括人员的业务授权信息，如样品接收、数据处理、报告审核等业务权限的授权和设备授权信息，如设备使用授权</w:t>
      </w:r>
      <w:r>
        <w:rPr>
          <w:rFonts w:hint="eastAsia" w:ascii="Times New Roman" w:hAnsi="Times New Roman" w:eastAsia="宋体" w:cs="Times New Roman"/>
          <w:spacing w:val="-3"/>
          <w:sz w:val="21"/>
          <w:szCs w:val="21"/>
          <w:lang w:val="en-US" w:eastAsia="zh-CN"/>
        </w:rPr>
        <w:t>。</w:t>
      </w:r>
    </w:p>
    <w:bookmarkEnd w:id="143"/>
    <w:bookmarkEnd w:id="144"/>
    <w:bookmarkEnd w:id="145"/>
    <w:bookmarkEnd w:id="146"/>
    <w:p w14:paraId="23130489">
      <w:pPr>
        <w:keepNext w:val="0"/>
        <w:keepLines w:val="0"/>
        <w:pageBreakBefore w:val="0"/>
        <w:widowControl/>
        <w:tabs>
          <w:tab w:val="left" w:pos="375"/>
        </w:tabs>
        <w:kinsoku w:val="0"/>
        <w:wordWrap/>
        <w:overflowPunct/>
        <w:topLinePunct w:val="0"/>
        <w:autoSpaceDE/>
        <w:autoSpaceDN/>
        <w:bidi w:val="0"/>
        <w:adjustRightInd w:val="0"/>
        <w:snapToGrid w:val="0"/>
        <w:spacing w:before="196" w:beforeLines="50" w:after="196" w:afterLines="50" w:line="240" w:lineRule="auto"/>
        <w:ind w:firstLine="0" w:firstLineChars="0"/>
        <w:jc w:val="left"/>
        <w:textAlignment w:val="baseline"/>
        <w:outlineLvl w:val="1"/>
        <w:rPr>
          <w:rFonts w:hint="eastAsia" w:ascii="Times New Roman" w:hAnsi="Times New Roman" w:eastAsia="宋体" w:cs="Times New Roman"/>
          <w:spacing w:val="-3"/>
          <w:sz w:val="21"/>
          <w:szCs w:val="21"/>
          <w:lang w:val="en-US" w:eastAsia="zh-CN"/>
        </w:rPr>
      </w:pPr>
      <w:bookmarkStart w:id="148" w:name="_Toc112838628"/>
      <w:bookmarkStart w:id="149" w:name="_Toc113028936"/>
      <w:bookmarkStart w:id="150" w:name="_Toc24399"/>
      <w:bookmarkStart w:id="151" w:name="_Toc112839068"/>
      <w:bookmarkStart w:id="152" w:name="_Toc26843"/>
      <w:bookmarkStart w:id="153" w:name="_Toc112866428"/>
      <w:bookmarkStart w:id="154" w:name="_Toc112953739"/>
      <w:bookmarkStart w:id="155" w:name="_Toc18668"/>
      <w:bookmarkStart w:id="156" w:name="_Toc112838783"/>
      <w:bookmarkStart w:id="157" w:name="_Toc29578"/>
      <w:bookmarkStart w:id="158" w:name="_Toc22591"/>
      <w:r>
        <w:rPr>
          <w:rFonts w:hint="eastAsia" w:ascii="黑体" w:hAnsi="Times New Roman" w:eastAsia="黑体" w:cs="Times New Roman"/>
          <w:sz w:val="21"/>
          <w:lang w:val="en-US" w:eastAsia="zh-CN"/>
        </w:rPr>
        <w:t>6.3</w:t>
      </w:r>
      <w:r>
        <w:rPr>
          <w:rFonts w:hint="eastAsia" w:ascii="黑体" w:hAnsi="Times New Roman" w:eastAsia="黑体" w:cs="Times New Roman"/>
          <w:sz w:val="21"/>
        </w:rPr>
        <w:t>　设备管理</w:t>
      </w:r>
      <w:bookmarkEnd w:id="148"/>
      <w:bookmarkEnd w:id="149"/>
      <w:bookmarkEnd w:id="150"/>
      <w:bookmarkEnd w:id="151"/>
      <w:bookmarkEnd w:id="152"/>
      <w:bookmarkEnd w:id="153"/>
      <w:bookmarkEnd w:id="154"/>
      <w:bookmarkEnd w:id="155"/>
      <w:bookmarkEnd w:id="156"/>
      <w:bookmarkEnd w:id="157"/>
      <w:bookmarkEnd w:id="158"/>
      <w:bookmarkStart w:id="159" w:name="_Toc32055"/>
      <w:bookmarkStart w:id="160" w:name="_Toc112953740"/>
      <w:bookmarkStart w:id="161" w:name="_Toc112838629"/>
      <w:bookmarkStart w:id="162" w:name="_Toc112838784"/>
    </w:p>
    <w:p w14:paraId="4544BF32">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实验室具备设备管理电子档案，支持手动记录设备信息与维护情况。</w:t>
      </w:r>
    </w:p>
    <w:p w14:paraId="40E9BEF9">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kern w:val="2"/>
          <w:sz w:val="21"/>
          <w:szCs w:val="21"/>
          <w:lang w:val="en-US" w:eastAsia="zh-CN" w:bidi="ar"/>
        </w:rPr>
        <w:t>设备信息与维护情况</w:t>
      </w:r>
      <w:r>
        <w:rPr>
          <w:rFonts w:hint="eastAsia" w:ascii="Times New Roman" w:hAnsi="Times New Roman" w:eastAsia="宋体" w:cs="Times New Roman"/>
          <w:spacing w:val="-3"/>
          <w:sz w:val="21"/>
          <w:szCs w:val="21"/>
          <w:lang w:val="en-US" w:eastAsia="zh-CN"/>
        </w:rPr>
        <w:t>包括但不限于设备名称、型号、规格、生产厂家、采购时间、启用时间、报废时间、检定和校准信息。</w:t>
      </w:r>
    </w:p>
    <w:p w14:paraId="20653C10">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检定和校准信息包括</w:t>
      </w:r>
      <w:r>
        <w:rPr>
          <w:rFonts w:hint="default" w:ascii="Times New Roman" w:hAnsi="Times New Roman" w:eastAsia="宋体" w:cs="Times New Roman"/>
          <w:spacing w:val="-3"/>
          <w:sz w:val="21"/>
          <w:szCs w:val="21"/>
          <w:lang w:val="en-US" w:eastAsia="zh-CN"/>
        </w:rPr>
        <w:t>检定日期、人员</w:t>
      </w: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结果</w:t>
      </w:r>
      <w:r>
        <w:rPr>
          <w:rFonts w:hint="eastAsia" w:ascii="Times New Roman" w:hAnsi="Times New Roman" w:eastAsia="宋体" w:cs="Times New Roman"/>
          <w:spacing w:val="-3"/>
          <w:sz w:val="21"/>
          <w:szCs w:val="21"/>
          <w:lang w:val="en-US" w:eastAsia="zh-CN"/>
        </w:rPr>
        <w:t>，确保检定信息的可追溯。</w:t>
      </w:r>
    </w:p>
    <w:bookmarkEnd w:id="159"/>
    <w:bookmarkEnd w:id="160"/>
    <w:bookmarkEnd w:id="161"/>
    <w:bookmarkEnd w:id="162"/>
    <w:p w14:paraId="5C686307">
      <w:pPr>
        <w:keepNext w:val="0"/>
        <w:keepLines w:val="0"/>
        <w:pageBreakBefore w:val="0"/>
        <w:widowControl w:val="0"/>
        <w:tabs>
          <w:tab w:val="left" w:pos="315"/>
        </w:tabs>
        <w:kinsoku/>
        <w:wordWrap/>
        <w:overflowPunct/>
        <w:topLinePunct w:val="0"/>
        <w:autoSpaceDE/>
        <w:autoSpaceDN/>
        <w:bidi w:val="0"/>
        <w:adjustRightInd w:val="0"/>
        <w:snapToGrid w:val="0"/>
        <w:spacing w:beforeLines="50" w:afterLines="50" w:line="240" w:lineRule="auto"/>
        <w:jc w:val="left"/>
        <w:textAlignment w:val="auto"/>
        <w:outlineLvl w:val="1"/>
        <w:rPr>
          <w:rFonts w:hint="eastAsia" w:ascii="黑体" w:hAnsi="Times New Roman" w:eastAsia="黑体" w:cs="Times New Roman"/>
          <w:sz w:val="21"/>
        </w:rPr>
      </w:pPr>
      <w:bookmarkStart w:id="163" w:name="_Toc112838632"/>
      <w:bookmarkStart w:id="164" w:name="_Toc9445"/>
      <w:bookmarkStart w:id="165" w:name="_Toc28533"/>
      <w:bookmarkStart w:id="166" w:name="_Toc19977"/>
      <w:bookmarkStart w:id="167" w:name="_Toc112838787"/>
      <w:bookmarkStart w:id="168" w:name="_Toc28729"/>
      <w:bookmarkStart w:id="169" w:name="_Toc905"/>
      <w:bookmarkStart w:id="170" w:name="_Toc112866429"/>
      <w:bookmarkStart w:id="171" w:name="_Toc112839069"/>
      <w:bookmarkStart w:id="172" w:name="_Toc112953743"/>
      <w:bookmarkStart w:id="173" w:name="_Toc113028937"/>
      <w:r>
        <w:rPr>
          <w:rFonts w:hint="eastAsia" w:ascii="黑体" w:hAnsi="Times New Roman" w:eastAsia="黑体" w:cs="Times New Roman"/>
          <w:sz w:val="21"/>
          <w:lang w:val="en-US" w:eastAsia="zh-CN"/>
        </w:rPr>
        <w:t>6.4</w:t>
      </w:r>
      <w:r>
        <w:rPr>
          <w:rFonts w:hint="eastAsia" w:ascii="黑体" w:hAnsi="Times New Roman" w:eastAsia="黑体" w:cs="Times New Roman"/>
          <w:sz w:val="21"/>
        </w:rPr>
        <w:t>　</w:t>
      </w:r>
      <w:r>
        <w:rPr>
          <w:rFonts w:hint="eastAsia" w:ascii="黑体" w:hAnsi="Times New Roman" w:eastAsia="黑体" w:cs="Times New Roman"/>
          <w:sz w:val="21"/>
          <w:lang w:val="en-US" w:eastAsia="zh-CN"/>
        </w:rPr>
        <w:t>物料</w:t>
      </w:r>
      <w:r>
        <w:rPr>
          <w:rFonts w:hint="eastAsia" w:ascii="黑体" w:hAnsi="Times New Roman" w:eastAsia="黑体" w:cs="Times New Roman"/>
          <w:sz w:val="21"/>
        </w:rPr>
        <w:t>管理</w:t>
      </w:r>
      <w:bookmarkEnd w:id="163"/>
      <w:bookmarkEnd w:id="164"/>
      <w:bookmarkEnd w:id="165"/>
      <w:bookmarkEnd w:id="166"/>
      <w:bookmarkEnd w:id="167"/>
      <w:bookmarkEnd w:id="168"/>
      <w:bookmarkEnd w:id="169"/>
      <w:bookmarkEnd w:id="170"/>
      <w:bookmarkEnd w:id="171"/>
      <w:bookmarkEnd w:id="172"/>
      <w:bookmarkEnd w:id="173"/>
    </w:p>
    <w:p w14:paraId="182F6A8D">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实验室具备物料管理电子档案，支持手动记录关键试剂耗材物料管理信息。</w:t>
      </w:r>
    </w:p>
    <w:p w14:paraId="410DFA00">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关键试剂耗材物料管理信息包括但不限于名称、规格、批次、有效期、采购日期、数量、供应商信息、使用信息。</w:t>
      </w:r>
    </w:p>
    <w:p w14:paraId="5FB56D9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关键试剂耗材物料包括标准物质、危险化学品（易制毒、易制爆、剧毒品）、培养基、菌株，记录的使用信息至少包括：使用日期、使用量、使用人员。</w:t>
      </w:r>
    </w:p>
    <w:p w14:paraId="09516588">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157" w:afterLines="50" w:line="240" w:lineRule="auto"/>
        <w:ind w:firstLine="0" w:firstLineChars="0"/>
        <w:jc w:val="left"/>
        <w:textAlignment w:val="auto"/>
        <w:outlineLvl w:val="1"/>
        <w:rPr>
          <w:rFonts w:hint="eastAsia" w:ascii="Times New Roman" w:hAnsi="Times New Roman" w:eastAsia="宋体" w:cs="Times New Roman"/>
          <w:spacing w:val="-3"/>
          <w:kern w:val="2"/>
          <w:sz w:val="20"/>
          <w:szCs w:val="20"/>
          <w:lang w:val="en-US" w:eastAsia="zh-CN" w:bidi="ar"/>
        </w:rPr>
      </w:pPr>
      <w:bookmarkStart w:id="174" w:name="_Toc27258"/>
      <w:r>
        <w:rPr>
          <w:rFonts w:hint="eastAsia" w:ascii="黑体" w:hAnsi="Times New Roman" w:eastAsia="黑体" w:cs="Times New Roman"/>
          <w:sz w:val="21"/>
          <w:lang w:val="en-US" w:eastAsia="zh-CN"/>
        </w:rPr>
        <w:t>6.5</w:t>
      </w:r>
      <w:r>
        <w:rPr>
          <w:rFonts w:hint="eastAsia" w:ascii="黑体" w:hAnsi="Times New Roman" w:eastAsia="黑体" w:cs="Times New Roman"/>
          <w:sz w:val="21"/>
        </w:rPr>
        <w:t>　</w:t>
      </w:r>
      <w:r>
        <w:rPr>
          <w:rFonts w:hint="eastAsia" w:ascii="黑体" w:hAnsi="Times New Roman" w:eastAsia="黑体" w:cs="Times New Roman"/>
          <w:sz w:val="21"/>
          <w:lang w:val="en-US" w:eastAsia="zh-CN"/>
        </w:rPr>
        <w:t>样品管理</w:t>
      </w:r>
      <w:bookmarkEnd w:id="174"/>
    </w:p>
    <w:p w14:paraId="7321D936">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实验室具备样品管理电子系统，支持手动录入样品管理信息。</w:t>
      </w:r>
    </w:p>
    <w:p w14:paraId="6137EAB2">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样品管理信息包括但不限于样品名称、样品数量、样品来源、样品保质期、接收时间、存放条件、库存位置、库存数量、样品状态数据等。</w:t>
      </w:r>
    </w:p>
    <w:p w14:paraId="65E5F48C">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样品状态数据包括样品的检测状态、存储状态及处理状态等描述和样品状态的变更信息。</w:t>
      </w:r>
    </w:p>
    <w:p w14:paraId="0DD194EA">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样品状态变更信息包括变更时间、变更人员、变更内容，所有变更记录确保可追溯。</w:t>
      </w:r>
    </w:p>
    <w:p w14:paraId="41885D54">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Times New Roman" w:hAnsi="Times New Roman" w:eastAsia="宋体" w:cs="Times New Roman"/>
          <w:spacing w:val="-3"/>
          <w:kern w:val="2"/>
          <w:sz w:val="21"/>
          <w:szCs w:val="21"/>
          <w:lang w:val="en-US" w:eastAsia="zh-CN" w:bidi="ar"/>
        </w:rPr>
      </w:pPr>
      <w:bookmarkStart w:id="175" w:name="_Toc31207"/>
      <w:r>
        <w:rPr>
          <w:rFonts w:hint="eastAsia" w:ascii="黑体" w:hAnsi="Times New Roman" w:eastAsia="黑体" w:cs="Times New Roman"/>
          <w:spacing w:val="0"/>
          <w:kern w:val="2"/>
          <w:sz w:val="21"/>
          <w:szCs w:val="24"/>
          <w:lang w:val="en-US" w:eastAsia="zh-CN" w:bidi="ar"/>
        </w:rPr>
        <w:t>6</w:t>
      </w:r>
      <w:r>
        <w:rPr>
          <w:rFonts w:hint="eastAsia" w:ascii="黑体" w:hAnsi="Times New Roman" w:eastAsia="黑体" w:cs="Times New Roman"/>
          <w:sz w:val="21"/>
          <w:highlight w:val="none"/>
        </w:rPr>
        <w:t>.</w:t>
      </w:r>
      <w:r>
        <w:rPr>
          <w:rFonts w:hint="eastAsia" w:ascii="黑体" w:hAnsi="Times New Roman" w:eastAsia="黑体" w:cs="Times New Roman"/>
          <w:sz w:val="21"/>
          <w:highlight w:val="none"/>
          <w:lang w:val="en-US" w:eastAsia="zh-CN"/>
        </w:rPr>
        <w:t>6</w:t>
      </w:r>
      <w:r>
        <w:rPr>
          <w:rFonts w:hint="eastAsia" w:ascii="黑体" w:hAnsi="Times New Roman" w:eastAsia="黑体" w:cs="Times New Roman"/>
          <w:sz w:val="21"/>
        </w:rPr>
        <w:t>　</w:t>
      </w:r>
      <w:r>
        <w:rPr>
          <w:rFonts w:hint="eastAsia" w:ascii="黑体" w:hAnsi="Times New Roman" w:eastAsia="黑体" w:cs="Times New Roman"/>
          <w:sz w:val="21"/>
          <w:highlight w:val="none"/>
        </w:rPr>
        <w:t>资质能力管理</w:t>
      </w:r>
      <w:bookmarkEnd w:id="175"/>
    </w:p>
    <w:p w14:paraId="558CBAA6">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实验室具备资质能力管理电子档案，支持手动记录实验室资质能力信息。</w:t>
      </w:r>
    </w:p>
    <w:p w14:paraId="333D2D1C">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实验室资质能力信息包括实验室资质证书、人员资质证书、资质能力明细等。</w:t>
      </w:r>
    </w:p>
    <w:p w14:paraId="3493B765">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资质证书记录证书的签发机构、编号、签发日期和有效期、证书文件等信息。</w:t>
      </w:r>
    </w:p>
    <w:p w14:paraId="72F68B90">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资质能力明细包括具体的检测项目、方法、有效性。</w:t>
      </w:r>
    </w:p>
    <w:p w14:paraId="6B5B9D1D">
      <w:pPr>
        <w:keepNext w:val="0"/>
        <w:keepLines w:val="0"/>
        <w:pageBreakBefore w:val="0"/>
        <w:widowControl w:val="0"/>
        <w:tabs>
          <w:tab w:val="left" w:pos="315"/>
        </w:tabs>
        <w:kinsoku/>
        <w:wordWrap/>
        <w:overflowPunct/>
        <w:topLinePunct w:val="0"/>
        <w:autoSpaceDE/>
        <w:autoSpaceDN/>
        <w:bidi w:val="0"/>
        <w:adjustRightInd w:val="0"/>
        <w:snapToGrid w:val="0"/>
        <w:spacing w:beforeLines="50" w:afterLines="50" w:line="240" w:lineRule="auto"/>
        <w:jc w:val="left"/>
        <w:textAlignment w:val="auto"/>
        <w:outlineLvl w:val="1"/>
        <w:rPr>
          <w:rFonts w:hint="eastAsia" w:ascii="黑体" w:hAnsi="Times New Roman" w:eastAsia="黑体" w:cs="Times New Roman"/>
          <w:sz w:val="21"/>
        </w:rPr>
      </w:pPr>
      <w:bookmarkStart w:id="176" w:name="_Toc17105"/>
      <w:r>
        <w:rPr>
          <w:rFonts w:hint="eastAsia" w:ascii="黑体" w:hAnsi="Times New Roman" w:eastAsia="黑体" w:cs="Times New Roman"/>
          <w:sz w:val="21"/>
          <w:lang w:val="en-US" w:eastAsia="zh-CN"/>
        </w:rPr>
        <w:t>6.7</w:t>
      </w:r>
      <w:r>
        <w:rPr>
          <w:rFonts w:hint="eastAsia" w:ascii="黑体" w:hAnsi="Times New Roman" w:eastAsia="黑体" w:cs="Times New Roman"/>
          <w:sz w:val="21"/>
        </w:rPr>
        <w:t>　环境管理</w:t>
      </w:r>
      <w:bookmarkEnd w:id="176"/>
    </w:p>
    <w:p w14:paraId="20AB36F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 xml:space="preserve">实验室具备环境管理电子档案，支持手动记录和上传环境参数信息。  </w:t>
      </w:r>
    </w:p>
    <w:p w14:paraId="32DD501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环境管理信息至少包括实验室温湿度、气压等关键参数；环境设备的检查与维护记录；不符合环境条件时的处理记录和改进措施。</w:t>
      </w:r>
    </w:p>
    <w:p w14:paraId="1956545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实验室定期对环境条件进行检查，并记录操作人员和时间，确保环境参数符合国家标准要求。</w:t>
      </w:r>
    </w:p>
    <w:p w14:paraId="0CE72C49">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Times New Roman" w:hAnsi="Times New Roman" w:eastAsia="宋体" w:cs="Times New Roman"/>
          <w:spacing w:val="-3"/>
          <w:kern w:val="2"/>
          <w:sz w:val="21"/>
          <w:szCs w:val="21"/>
          <w:lang w:val="en-US" w:eastAsia="zh-CN" w:bidi="ar"/>
        </w:rPr>
      </w:pPr>
      <w:bookmarkStart w:id="177" w:name="_Toc112838636"/>
      <w:bookmarkStart w:id="178" w:name="_Toc5124"/>
      <w:bookmarkStart w:id="179" w:name="_Toc112839070"/>
      <w:bookmarkStart w:id="180" w:name="_Toc112866430"/>
      <w:bookmarkStart w:id="181" w:name="_Toc30390"/>
      <w:bookmarkStart w:id="182" w:name="_Toc23028"/>
      <w:bookmarkStart w:id="183" w:name="_Toc112838791"/>
      <w:bookmarkStart w:id="184" w:name="_Toc7890"/>
      <w:bookmarkStart w:id="185" w:name="_Toc16997"/>
      <w:bookmarkStart w:id="186" w:name="_Toc113028938"/>
      <w:bookmarkStart w:id="187" w:name="_Toc112953747"/>
      <w:r>
        <w:rPr>
          <w:rFonts w:hint="eastAsia" w:ascii="黑体" w:hAnsi="Times New Roman" w:eastAsia="黑体" w:cs="Times New Roman"/>
          <w:sz w:val="21"/>
          <w:lang w:val="en-US" w:eastAsia="zh-CN"/>
        </w:rPr>
        <w:t>6.8</w:t>
      </w:r>
      <w:r>
        <w:rPr>
          <w:rFonts w:hint="eastAsia" w:ascii="黑体" w:hAnsi="Times New Roman" w:eastAsia="黑体" w:cs="Times New Roman"/>
          <w:sz w:val="21"/>
        </w:rPr>
        <w:t>　</w:t>
      </w:r>
      <w:r>
        <w:rPr>
          <w:rFonts w:hint="eastAsia" w:ascii="黑体" w:hAnsi="Times New Roman" w:eastAsia="黑体" w:cs="Times New Roman"/>
          <w:sz w:val="21"/>
          <w:lang w:val="en-US" w:eastAsia="zh-CN"/>
        </w:rPr>
        <w:t>报告</w:t>
      </w:r>
      <w:r>
        <w:rPr>
          <w:rFonts w:hint="eastAsia" w:ascii="黑体" w:hAnsi="Times New Roman" w:eastAsia="黑体" w:cs="Times New Roman"/>
          <w:sz w:val="21"/>
        </w:rPr>
        <w:t>管理</w:t>
      </w:r>
      <w:bookmarkEnd w:id="177"/>
      <w:bookmarkEnd w:id="178"/>
      <w:bookmarkEnd w:id="179"/>
      <w:bookmarkEnd w:id="180"/>
      <w:bookmarkEnd w:id="181"/>
      <w:bookmarkEnd w:id="182"/>
      <w:bookmarkEnd w:id="183"/>
      <w:bookmarkEnd w:id="184"/>
      <w:bookmarkEnd w:id="185"/>
      <w:bookmarkEnd w:id="186"/>
      <w:bookmarkEnd w:id="187"/>
      <w:bookmarkStart w:id="188" w:name="_Toc112838637"/>
      <w:bookmarkStart w:id="189" w:name="_Toc112838792"/>
      <w:bookmarkStart w:id="190" w:name="_Toc112953748"/>
      <w:bookmarkStart w:id="191" w:name="_Toc22610"/>
    </w:p>
    <w:p w14:paraId="1BE265D5">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实验室具备自动化报告生成和报告模板管理功能的电子系统。</w:t>
      </w:r>
    </w:p>
    <w:p w14:paraId="096F88B2">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系统通过整合手动录入的样品信息、人员资质、试验结果和环境参数等数据，支持自动生成报告，同时允许手动编辑和调整。</w:t>
      </w:r>
    </w:p>
    <w:p w14:paraId="5A5FA403">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系统中报告的生成、编辑、审批和发布过程完整并可追溯，宜记录报告生成时间、编辑人员、修改内容及时间节点。</w:t>
      </w:r>
    </w:p>
    <w:bookmarkEnd w:id="188"/>
    <w:bookmarkEnd w:id="189"/>
    <w:bookmarkEnd w:id="190"/>
    <w:bookmarkEnd w:id="191"/>
    <w:p w14:paraId="38FC8C59">
      <w:pPr>
        <w:pStyle w:val="41"/>
        <w:keepNext w:val="0"/>
        <w:keepLines w:val="0"/>
        <w:pageBreakBefore w:val="0"/>
        <w:widowControl/>
        <w:kinsoku/>
        <w:wordWrap/>
        <w:overflowPunct/>
        <w:topLinePunct w:val="0"/>
        <w:autoSpaceDE/>
        <w:autoSpaceDN/>
        <w:bidi w:val="0"/>
        <w:adjustRightInd w:val="0"/>
        <w:snapToGrid w:val="0"/>
        <w:spacing w:before="390" w:beforeLines="100" w:after="390" w:afterLines="100" w:line="240" w:lineRule="auto"/>
        <w:ind w:left="0"/>
        <w:jc w:val="left"/>
        <w:textAlignment w:val="auto"/>
        <w:outlineLvl w:val="0"/>
        <w:rPr>
          <w:rFonts w:hint="eastAsia" w:ascii="黑体" w:hAnsi="Times New Roman" w:eastAsia="黑体" w:cs="Times New Roman"/>
          <w:sz w:val="21"/>
          <w:lang w:val="en-US" w:eastAsia="zh-CN"/>
        </w:rPr>
      </w:pPr>
      <w:bookmarkStart w:id="192" w:name="_Toc3467"/>
      <w:bookmarkStart w:id="193" w:name="_Toc24813"/>
      <w:bookmarkStart w:id="194" w:name="_Toc12826"/>
      <w:bookmarkStart w:id="195" w:name="_Toc4752"/>
      <w:bookmarkStart w:id="196" w:name="_Toc19067"/>
      <w:bookmarkStart w:id="197" w:name="_Toc5730"/>
      <w:bookmarkStart w:id="198" w:name="_Toc12398"/>
      <w:r>
        <w:rPr>
          <w:rFonts w:hint="eastAsia" w:ascii="黑体" w:hAnsi="Times New Roman" w:eastAsia="黑体" w:cs="Times New Roman"/>
          <w:sz w:val="21"/>
          <w:lang w:val="en-US" w:eastAsia="zh-CN"/>
        </w:rPr>
        <w:t>7</w:t>
      </w:r>
      <w:r>
        <w:rPr>
          <w:rFonts w:hint="eastAsia" w:ascii="黑体" w:hAnsi="Times New Roman" w:eastAsia="黑体" w:cs="Times New Roman"/>
          <w:sz w:val="21"/>
        </w:rPr>
        <w:t>　</w:t>
      </w:r>
      <w:r>
        <w:rPr>
          <w:rFonts w:hint="eastAsia" w:ascii="黑体" w:hAnsi="Times New Roman" w:eastAsia="黑体" w:cs="Times New Roman"/>
          <w:sz w:val="21"/>
          <w:lang w:val="en-US" w:eastAsia="zh-CN"/>
        </w:rPr>
        <w:t>B</w:t>
      </w:r>
      <w:r>
        <w:rPr>
          <w:rFonts w:hint="eastAsia" w:ascii="黑体" w:hAnsi="Times New Roman" w:eastAsia="黑体" w:cs="Times New Roman"/>
          <w:sz w:val="21"/>
        </w:rPr>
        <w:t>级</w:t>
      </w:r>
      <w:r>
        <w:rPr>
          <w:rFonts w:hint="eastAsia" w:ascii="黑体" w:hAnsi="Times New Roman" w:eastAsia="黑体" w:cs="Times New Roman"/>
          <w:sz w:val="21"/>
          <w:lang w:val="en-US" w:eastAsia="zh-CN"/>
        </w:rPr>
        <w:t>食品</w:t>
      </w:r>
      <w:r>
        <w:rPr>
          <w:rFonts w:hint="eastAsia" w:ascii="黑体" w:hAnsi="Times New Roman" w:eastAsia="黑体" w:cs="Times New Roman"/>
          <w:sz w:val="21"/>
        </w:rPr>
        <w:t>实验室</w:t>
      </w:r>
      <w:bookmarkEnd w:id="192"/>
      <w:r>
        <w:rPr>
          <w:rFonts w:hint="eastAsia" w:ascii="黑体" w:hAnsi="Times New Roman" w:eastAsia="黑体" w:cs="Times New Roman"/>
          <w:sz w:val="21"/>
          <w:lang w:val="en-US" w:eastAsia="zh-CN"/>
        </w:rPr>
        <w:t>数字化管理</w:t>
      </w:r>
      <w:bookmarkEnd w:id="193"/>
      <w:bookmarkEnd w:id="194"/>
      <w:bookmarkEnd w:id="195"/>
    </w:p>
    <w:p w14:paraId="21EBA244">
      <w:pPr>
        <w:keepNext w:val="0"/>
        <w:keepLines w:val="0"/>
        <w:pageBreakBefore w:val="0"/>
        <w:widowControl w:val="0"/>
        <w:tabs>
          <w:tab w:val="left" w:pos="315"/>
        </w:tabs>
        <w:kinsoku/>
        <w:wordWrap/>
        <w:overflowPunct/>
        <w:topLinePunct w:val="0"/>
        <w:autoSpaceDE/>
        <w:autoSpaceDN/>
        <w:bidi w:val="0"/>
        <w:adjustRightInd w:val="0"/>
        <w:snapToGrid w:val="0"/>
        <w:spacing w:before="196" w:beforeLines="50" w:after="196" w:afterLines="50" w:line="240" w:lineRule="auto"/>
        <w:ind w:right="0"/>
        <w:jc w:val="left"/>
        <w:textAlignment w:val="auto"/>
        <w:outlineLvl w:val="1"/>
        <w:rPr>
          <w:rFonts w:hint="default" w:ascii="黑体" w:hAnsi="Times New Roman" w:eastAsia="黑体" w:cs="Times New Roman"/>
          <w:sz w:val="21"/>
          <w:szCs w:val="24"/>
          <w:lang w:val="en-US" w:eastAsia="zh-CN"/>
        </w:rPr>
      </w:pPr>
      <w:bookmarkStart w:id="199" w:name="_Toc11796"/>
      <w:r>
        <w:rPr>
          <w:rFonts w:hint="eastAsia" w:ascii="黑体" w:hAnsi="Times New Roman" w:eastAsia="黑体" w:cs="Times New Roman"/>
          <w:sz w:val="21"/>
          <w:szCs w:val="24"/>
          <w:lang w:val="en-US" w:eastAsia="zh-CN"/>
        </w:rPr>
        <w:t>7.1</w:t>
      </w:r>
      <w:r>
        <w:rPr>
          <w:rFonts w:hint="eastAsia" w:ascii="黑体" w:hAnsi="Times New Roman" w:eastAsia="黑体" w:cs="Times New Roman"/>
          <w:sz w:val="21"/>
        </w:rPr>
        <w:t>　</w:t>
      </w:r>
      <w:r>
        <w:rPr>
          <w:rFonts w:hint="eastAsia" w:ascii="黑体" w:hAnsi="Times New Roman" w:eastAsia="黑体" w:cs="Times New Roman"/>
          <w:sz w:val="21"/>
          <w:lang w:val="en-US" w:eastAsia="zh-CN"/>
        </w:rPr>
        <w:t>概述</w:t>
      </w:r>
      <w:bookmarkEnd w:id="199"/>
    </w:p>
    <w:p w14:paraId="579D6207">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right="0" w:firstLine="414" w:firstLineChars="200"/>
        <w:textAlignment w:val="baseline"/>
        <w:rPr>
          <w:rFonts w:hint="eastAsia" w:ascii="Times New Roman" w:hAnsi="Times New Roman" w:eastAsia="宋体" w:cs="Times New Roman"/>
          <w:spacing w:val="-3"/>
          <w:sz w:val="20"/>
          <w:szCs w:val="20"/>
          <w:lang w:val="en-US" w:eastAsia="zh-CN"/>
        </w:rPr>
      </w:pPr>
      <w:r>
        <w:rPr>
          <w:rFonts w:hint="eastAsia" w:ascii="Times New Roman" w:hAnsi="Times New Roman" w:eastAsia="宋体" w:cs="Times New Roman"/>
          <w:spacing w:val="-3"/>
          <w:sz w:val="21"/>
          <w:szCs w:val="21"/>
          <w:lang w:val="en-US" w:eastAsia="zh-CN"/>
        </w:rPr>
        <w:t>B级食品实验室数字化管理在C级食品实验室数字化管理的基础上，增加物联网体系，增设人员权限、期间核查、方法标准管理、检测报告数据采集和审计追踪功能，以满足更复杂的食品实验室数字化管理需求，提升管理的效率和准确性。</w:t>
      </w:r>
    </w:p>
    <w:p w14:paraId="1A5490E1">
      <w:pPr>
        <w:keepNext w:val="0"/>
        <w:keepLines w:val="0"/>
        <w:pageBreakBefore w:val="0"/>
        <w:widowControl/>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Times New Roman" w:hAnsi="Times New Roman" w:eastAsia="宋体" w:cs="Times New Roman"/>
          <w:spacing w:val="-3"/>
          <w:sz w:val="21"/>
          <w:szCs w:val="21"/>
          <w:lang w:val="en-US" w:eastAsia="zh-CN"/>
        </w:rPr>
      </w:pPr>
      <w:bookmarkStart w:id="200" w:name="_Toc3391"/>
      <w:r>
        <w:rPr>
          <w:rFonts w:hint="eastAsia" w:ascii="黑体" w:hAnsi="Times New Roman" w:eastAsia="黑体" w:cs="Times New Roman"/>
          <w:sz w:val="21"/>
          <w:lang w:val="en-US" w:eastAsia="zh-CN"/>
        </w:rPr>
        <w:t>7.2</w:t>
      </w:r>
      <w:r>
        <w:rPr>
          <w:rFonts w:hint="eastAsia" w:ascii="黑体" w:hAnsi="Times New Roman" w:eastAsia="黑体" w:cs="Times New Roman"/>
          <w:sz w:val="21"/>
        </w:rPr>
        <w:t>　</w:t>
      </w:r>
      <w:r>
        <w:rPr>
          <w:rFonts w:hint="eastAsia" w:ascii="黑体" w:hAnsi="Times New Roman" w:eastAsia="黑体" w:cs="Times New Roman"/>
          <w:sz w:val="21"/>
          <w:highlight w:val="none"/>
          <w:lang w:val="en-US" w:eastAsia="zh-CN"/>
        </w:rPr>
        <w:t>人员管理</w:t>
      </w:r>
      <w:bookmarkEnd w:id="200"/>
    </w:p>
    <w:p w14:paraId="1484A331">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kern w:val="2"/>
          <w:sz w:val="21"/>
          <w:szCs w:val="21"/>
          <w:lang w:val="en-US" w:eastAsia="zh-CN" w:bidi="ar"/>
        </w:rPr>
        <w:t>实验室</w:t>
      </w:r>
      <w:r>
        <w:rPr>
          <w:rFonts w:hint="eastAsia" w:ascii="Times New Roman" w:hAnsi="Times New Roman" w:eastAsia="宋体" w:cs="Times New Roman"/>
          <w:spacing w:val="-3"/>
          <w:sz w:val="21"/>
          <w:szCs w:val="21"/>
          <w:lang w:val="en-US" w:eastAsia="zh-CN"/>
        </w:rPr>
        <w:t>具备在线登记、更新人员信息的实验室信息系统，自动生成人员电子档案。</w:t>
      </w:r>
    </w:p>
    <w:p w14:paraId="6BA59FD5">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在线登记实时更新包括但不限于人员基本信息、职位设置、人员授权（检测能力授权和设备使用授权信息）。</w:t>
      </w:r>
    </w:p>
    <w:p w14:paraId="6E4232BC">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具备自动识别人员权限和人员活动进行监控的动态管理功能。</w:t>
      </w:r>
    </w:p>
    <w:p w14:paraId="7D4FF237">
      <w:pPr>
        <w:keepNext w:val="0"/>
        <w:keepLines w:val="0"/>
        <w:pageBreakBefore w:val="0"/>
        <w:widowControl/>
        <w:tabs>
          <w:tab w:val="left" w:pos="375"/>
        </w:tabs>
        <w:kinsoku w:val="0"/>
        <w:wordWrap/>
        <w:overflowPunct/>
        <w:topLinePunct w:val="0"/>
        <w:autoSpaceDE/>
        <w:autoSpaceDN/>
        <w:bidi w:val="0"/>
        <w:adjustRightInd w:val="0"/>
        <w:snapToGrid w:val="0"/>
        <w:spacing w:before="196" w:beforeLines="50" w:after="196" w:afterLines="50" w:line="240" w:lineRule="auto"/>
        <w:ind w:firstLine="0" w:firstLineChars="0"/>
        <w:jc w:val="left"/>
        <w:textAlignment w:val="baseline"/>
        <w:outlineLvl w:val="1"/>
        <w:rPr>
          <w:rFonts w:hint="eastAsia" w:ascii="黑体" w:hAnsi="Times New Roman" w:eastAsia="黑体" w:cs="Times New Roman"/>
          <w:sz w:val="21"/>
        </w:rPr>
      </w:pPr>
      <w:bookmarkStart w:id="201" w:name="_Toc7625"/>
      <w:r>
        <w:rPr>
          <w:rFonts w:hint="eastAsia" w:ascii="黑体" w:hAnsi="Times New Roman" w:eastAsia="黑体" w:cs="Times New Roman"/>
          <w:sz w:val="21"/>
          <w:lang w:val="en-US" w:eastAsia="zh-CN"/>
        </w:rPr>
        <w:t>7</w:t>
      </w:r>
      <w:r>
        <w:rPr>
          <w:rFonts w:hint="eastAsia" w:ascii="黑体" w:hAnsi="Times New Roman" w:eastAsia="黑体" w:cs="Times New Roman"/>
          <w:sz w:val="21"/>
        </w:rPr>
        <w:t>.</w:t>
      </w:r>
      <w:r>
        <w:rPr>
          <w:rFonts w:hint="eastAsia" w:ascii="黑体" w:hAnsi="Times New Roman" w:eastAsia="黑体" w:cs="Times New Roman"/>
          <w:sz w:val="21"/>
          <w:lang w:val="en-US" w:eastAsia="zh-CN"/>
        </w:rPr>
        <w:t>3</w:t>
      </w:r>
      <w:r>
        <w:rPr>
          <w:rFonts w:hint="eastAsia" w:ascii="黑体" w:hAnsi="Times New Roman" w:eastAsia="黑体" w:cs="Times New Roman"/>
          <w:sz w:val="21"/>
        </w:rPr>
        <w:t>　</w:t>
      </w:r>
      <w:r>
        <w:rPr>
          <w:rFonts w:hint="eastAsia" w:ascii="黑体" w:hAnsi="Times New Roman" w:eastAsia="黑体" w:cs="Times New Roman"/>
          <w:sz w:val="21"/>
          <w:highlight w:val="none"/>
        </w:rPr>
        <w:t>设备管理</w:t>
      </w:r>
      <w:bookmarkEnd w:id="201"/>
    </w:p>
    <w:p w14:paraId="579812DD">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kern w:val="2"/>
          <w:sz w:val="21"/>
          <w:szCs w:val="21"/>
          <w:lang w:val="en-US" w:eastAsia="zh-CN" w:bidi="ar"/>
        </w:rPr>
        <w:t>实验室</w:t>
      </w:r>
      <w:r>
        <w:rPr>
          <w:rFonts w:hint="eastAsia" w:ascii="Times New Roman" w:hAnsi="Times New Roman" w:eastAsia="宋体" w:cs="Times New Roman"/>
          <w:spacing w:val="-3"/>
          <w:sz w:val="21"/>
          <w:szCs w:val="21"/>
          <w:lang w:val="en-US" w:eastAsia="zh-CN"/>
        </w:rPr>
        <w:t>建立设备“数字身份网”</w:t>
      </w:r>
      <w:r>
        <w:rPr>
          <w:rFonts w:hint="default" w:ascii="Times New Roman" w:hAnsi="Times New Roman" w:eastAsia="宋体" w:cs="Times New Roman"/>
          <w:spacing w:val="-3"/>
          <w:sz w:val="21"/>
          <w:szCs w:val="21"/>
          <w:lang w:val="en-US" w:eastAsia="zh-CN"/>
        </w:rPr>
        <w:t>管理</w:t>
      </w:r>
      <w:r>
        <w:rPr>
          <w:rFonts w:hint="eastAsia" w:ascii="Times New Roman" w:hAnsi="Times New Roman" w:eastAsia="宋体" w:cs="Times New Roman"/>
          <w:spacing w:val="-3"/>
          <w:sz w:val="21"/>
          <w:szCs w:val="21"/>
          <w:lang w:val="en-US" w:eastAsia="zh-CN"/>
        </w:rPr>
        <w:t>系统，</w:t>
      </w:r>
      <w:r>
        <w:rPr>
          <w:rFonts w:hint="default" w:ascii="Times New Roman" w:hAnsi="Times New Roman" w:eastAsia="宋体" w:cs="Times New Roman"/>
          <w:spacing w:val="-3"/>
          <w:sz w:val="21"/>
          <w:szCs w:val="21"/>
          <w:lang w:val="en-US" w:eastAsia="zh-CN"/>
        </w:rPr>
        <w:t>支持</w:t>
      </w:r>
      <w:r>
        <w:rPr>
          <w:rFonts w:hint="eastAsia" w:ascii="Times New Roman" w:hAnsi="Times New Roman" w:eastAsia="宋体" w:cs="Times New Roman"/>
          <w:spacing w:val="-3"/>
          <w:sz w:val="21"/>
          <w:szCs w:val="21"/>
          <w:lang w:val="en-US" w:eastAsia="zh-CN"/>
        </w:rPr>
        <w:t>在线登记、更新设备参数基本信息。</w:t>
      </w:r>
    </w:p>
    <w:p w14:paraId="0BC23743">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系统具备设备功能分类管理功能，用</w:t>
      </w:r>
      <w:r>
        <w:rPr>
          <w:rFonts w:hint="default" w:ascii="Times New Roman" w:hAnsi="Times New Roman" w:eastAsia="宋体" w:cs="Times New Roman"/>
          <w:spacing w:val="-3"/>
          <w:sz w:val="21"/>
          <w:szCs w:val="21"/>
          <w:lang w:val="en-US" w:eastAsia="zh-CN"/>
        </w:rPr>
        <w:t>于设备信息的分类与检索</w:t>
      </w:r>
      <w:r>
        <w:rPr>
          <w:rFonts w:hint="eastAsia" w:ascii="Times New Roman" w:hAnsi="Times New Roman" w:eastAsia="宋体" w:cs="Times New Roman"/>
          <w:spacing w:val="-3"/>
          <w:sz w:val="21"/>
          <w:szCs w:val="21"/>
          <w:lang w:val="en-US" w:eastAsia="zh-CN"/>
        </w:rPr>
        <w:t>。</w:t>
      </w:r>
    </w:p>
    <w:p w14:paraId="1C6CAF3C">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利用物联网技术，实时监控实验室的关键质量参数和设备状态。</w:t>
      </w:r>
    </w:p>
    <w:p w14:paraId="5178A690">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具备机器可读标准，支持对关键仪器设备的能耗分析、实时状态监控和异常报警</w:t>
      </w:r>
      <w:r>
        <w:rPr>
          <w:rFonts w:hint="default" w:ascii="Times New Roman" w:hAnsi="Times New Roman" w:eastAsia="宋体" w:cs="Times New Roman"/>
          <w:spacing w:val="-3"/>
          <w:sz w:val="21"/>
          <w:szCs w:val="21"/>
          <w:lang w:val="en-US" w:eastAsia="zh-CN"/>
        </w:rPr>
        <w:t>功能</w:t>
      </w:r>
      <w:r>
        <w:rPr>
          <w:rFonts w:hint="eastAsia" w:ascii="Times New Roman" w:hAnsi="Times New Roman" w:eastAsia="宋体" w:cs="Times New Roman"/>
          <w:spacing w:val="-3"/>
          <w:sz w:val="21"/>
          <w:szCs w:val="21"/>
          <w:lang w:val="en-US" w:eastAsia="zh-CN"/>
        </w:rPr>
        <w:t>。</w:t>
      </w:r>
    </w:p>
    <w:p w14:paraId="13A9A173">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default" w:ascii="Times New Roman" w:hAnsi="Times New Roman" w:eastAsia="宋体" w:cs="Times New Roman"/>
          <w:spacing w:val="-3"/>
          <w:sz w:val="21"/>
          <w:szCs w:val="21"/>
          <w:lang w:val="en-US" w:eastAsia="zh-CN"/>
        </w:rPr>
        <w:t>具备仪器设备计量溯源以及符合性评价期间核查相关功能记录和操作</w:t>
      </w:r>
      <w:r>
        <w:rPr>
          <w:rFonts w:hint="eastAsia" w:ascii="Times New Roman" w:hAnsi="Times New Roman" w:eastAsia="宋体" w:cs="Times New Roman"/>
          <w:spacing w:val="-3"/>
          <w:sz w:val="21"/>
          <w:szCs w:val="21"/>
          <w:lang w:val="en-US" w:eastAsia="zh-CN"/>
        </w:rPr>
        <w:t>。</w:t>
      </w:r>
    </w:p>
    <w:p w14:paraId="4B1D39AA">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Times New Roman" w:hAnsi="Times New Roman" w:eastAsia="宋体" w:cs="Times New Roman"/>
          <w:spacing w:val="-3"/>
          <w:kern w:val="2"/>
          <w:sz w:val="20"/>
          <w:szCs w:val="20"/>
          <w:lang w:val="en-US" w:eastAsia="zh-CN" w:bidi="ar"/>
        </w:rPr>
      </w:pPr>
      <w:bookmarkStart w:id="202" w:name="_Toc22650"/>
      <w:r>
        <w:rPr>
          <w:rFonts w:hint="eastAsia" w:ascii="黑体" w:hAnsi="Times New Roman" w:eastAsia="黑体" w:cs="Times New Roman"/>
          <w:sz w:val="21"/>
          <w:lang w:val="en-US" w:eastAsia="zh-CN"/>
        </w:rPr>
        <w:t>7.4</w:t>
      </w:r>
      <w:r>
        <w:rPr>
          <w:rFonts w:hint="eastAsia" w:ascii="黑体" w:hAnsi="Times New Roman" w:eastAsia="黑体" w:cs="Times New Roman"/>
          <w:sz w:val="21"/>
        </w:rPr>
        <w:t>　</w:t>
      </w:r>
      <w:r>
        <w:rPr>
          <w:rFonts w:hint="eastAsia" w:ascii="黑体" w:hAnsi="Times New Roman" w:eastAsia="黑体" w:cs="Times New Roman"/>
          <w:sz w:val="21"/>
          <w:lang w:val="en-US" w:eastAsia="zh-CN"/>
        </w:rPr>
        <w:t>物料</w:t>
      </w:r>
      <w:r>
        <w:rPr>
          <w:rFonts w:hint="eastAsia" w:ascii="黑体" w:hAnsi="Times New Roman" w:eastAsia="黑体" w:cs="Times New Roman"/>
          <w:sz w:val="21"/>
        </w:rPr>
        <w:t>管理</w:t>
      </w:r>
      <w:bookmarkEnd w:id="202"/>
    </w:p>
    <w:p w14:paraId="207C529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kern w:val="2"/>
          <w:sz w:val="21"/>
          <w:szCs w:val="21"/>
          <w:lang w:val="en-US" w:eastAsia="zh-CN" w:bidi="ar"/>
        </w:rPr>
        <w:t>实验室具备关键</w:t>
      </w:r>
      <w:r>
        <w:rPr>
          <w:rFonts w:hint="eastAsia" w:ascii="Times New Roman" w:hAnsi="Times New Roman" w:eastAsia="宋体" w:cs="Times New Roman"/>
          <w:spacing w:val="-3"/>
          <w:sz w:val="21"/>
          <w:szCs w:val="21"/>
          <w:lang w:val="en-US" w:eastAsia="zh-CN"/>
        </w:rPr>
        <w:t>物料分类管理系统，在线登记、更新物料基本信息。</w:t>
      </w:r>
    </w:p>
    <w:p w14:paraId="26B44FF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支持关键物料的电子化申购流程，包括在线下单、审批、收货和付款。</w:t>
      </w:r>
    </w:p>
    <w:p w14:paraId="24A3E3E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具有关键物料库存动态管理功能，包括出入库管理、库存预警、过期物料的识别与处理等。</w:t>
      </w:r>
    </w:p>
    <w:p w14:paraId="0EAF2BD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0"/>
          <w:szCs w:val="20"/>
          <w:lang w:val="en-US" w:eastAsia="zh-CN" w:bidi="ar"/>
        </w:rPr>
      </w:pPr>
      <w:r>
        <w:rPr>
          <w:rFonts w:hint="eastAsia" w:ascii="Times New Roman" w:hAnsi="Times New Roman" w:eastAsia="宋体" w:cs="Times New Roman"/>
          <w:spacing w:val="-3"/>
          <w:kern w:val="2"/>
          <w:sz w:val="21"/>
          <w:szCs w:val="21"/>
          <w:lang w:val="en-US" w:eastAsia="zh-CN" w:bidi="ar"/>
        </w:rPr>
        <w:t>具有物料追溯功能，能够追踪关键物料的配置人员、方法和使用信息来源。</w:t>
      </w:r>
    </w:p>
    <w:p w14:paraId="1DE3CFE7">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黑体" w:hAnsi="Times New Roman" w:eastAsia="黑体" w:cs="Times New Roman"/>
          <w:sz w:val="21"/>
          <w:lang w:eastAsia="zh-CN"/>
        </w:rPr>
      </w:pPr>
      <w:bookmarkStart w:id="203" w:name="_Toc16424"/>
      <w:r>
        <w:rPr>
          <w:rFonts w:hint="eastAsia" w:ascii="黑体" w:hAnsi="Times New Roman" w:eastAsia="黑体" w:cs="Times New Roman"/>
          <w:sz w:val="21"/>
          <w:lang w:val="en-US" w:eastAsia="zh-CN"/>
        </w:rPr>
        <w:t>7.5</w:t>
      </w:r>
      <w:r>
        <w:rPr>
          <w:rFonts w:hint="eastAsia" w:ascii="黑体" w:hAnsi="Times New Roman" w:eastAsia="黑体" w:cs="Times New Roman"/>
          <w:sz w:val="21"/>
        </w:rPr>
        <w:t>　</w:t>
      </w:r>
      <w:r>
        <w:rPr>
          <w:rFonts w:hint="eastAsia" w:ascii="黑体" w:hAnsi="Times New Roman" w:eastAsia="黑体" w:cs="Times New Roman"/>
          <w:sz w:val="21"/>
          <w:lang w:val="en-US" w:eastAsia="zh-CN"/>
        </w:rPr>
        <w:t>样品管理</w:t>
      </w:r>
      <w:bookmarkEnd w:id="203"/>
    </w:p>
    <w:p w14:paraId="628348D7">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实验室具备虚拟样品仓库，根据样品的性质、用途、来源等特征，对样品进行编号、分类管理。</w:t>
      </w:r>
    </w:p>
    <w:p w14:paraId="3E94E296">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具备移动端拍照功能，能够拍照直接上传样品照片至实验室管理系统。</w:t>
      </w:r>
    </w:p>
    <w:p w14:paraId="03DDEA37">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样品室、天平间以及标准溶液配制、培养基配制等关键操作场所安装视频监控设备，记录操作过程，能够按天提供视频（远景）监控记录或按次提供视频（近景）监控。</w:t>
      </w:r>
    </w:p>
    <w:p w14:paraId="5232712D">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highlight w:val="none"/>
          <w:lang w:val="en-US" w:eastAsia="zh-CN" w:bidi="ar"/>
        </w:rPr>
      </w:pPr>
      <w:r>
        <w:rPr>
          <w:rFonts w:hint="eastAsia" w:ascii="Times New Roman" w:hAnsi="Times New Roman" w:eastAsia="宋体" w:cs="Times New Roman"/>
          <w:spacing w:val="-3"/>
          <w:kern w:val="2"/>
          <w:sz w:val="21"/>
          <w:szCs w:val="21"/>
          <w:highlight w:val="none"/>
          <w:lang w:val="en-US" w:eastAsia="zh-CN" w:bidi="ar"/>
        </w:rPr>
        <w:t>具备样品制样登记管理，能够详细登记样品进入制样室后，制样时间、制样人员、制样方式、制样数量、样品状态、检测科室。</w:t>
      </w:r>
    </w:p>
    <w:p w14:paraId="1135C313">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highlight w:val="none"/>
          <w:lang w:val="en-US" w:eastAsia="zh-CN" w:bidi="ar"/>
        </w:rPr>
      </w:pPr>
      <w:r>
        <w:rPr>
          <w:rFonts w:hint="eastAsia" w:ascii="Times New Roman" w:hAnsi="Times New Roman" w:eastAsia="宋体" w:cs="Times New Roman"/>
          <w:spacing w:val="-3"/>
          <w:kern w:val="2"/>
          <w:sz w:val="21"/>
          <w:szCs w:val="21"/>
          <w:highlight w:val="none"/>
          <w:lang w:val="en-US" w:eastAsia="zh-CN" w:bidi="ar"/>
        </w:rPr>
        <w:t>具备制样后的试样领还样管理功能，能够详细登记领/还样的人员、领/还数量、领/还人员、领/还时间、还样位置、领/还科室。</w:t>
      </w:r>
    </w:p>
    <w:p w14:paraId="54006E07">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在样品制备完成后，自动生成样品制备报告，记录制备过程中的关键数据和结果。</w:t>
      </w:r>
    </w:p>
    <w:p w14:paraId="62775D83">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支持通过条形码或RFID技术，实现样品从接收到测试的全程可追溯管理。</w:t>
      </w:r>
    </w:p>
    <w:p w14:paraId="653F7B77">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根据样品的存储要求，合理安排样品的存储位置和条件（如温度、湿度等）及库存状态，设置定期提醒对存储环境进行检查和维护管理。</w:t>
      </w:r>
    </w:p>
    <w:p w14:paraId="6A97D8C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对于有保质期要求的样品，能够记录每个样品的有效期，并根据设定的时间自动发出过期提醒。</w:t>
      </w:r>
    </w:p>
    <w:p w14:paraId="6C9FEFD6">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黑体" w:hAnsi="Times New Roman" w:eastAsia="黑体" w:cs="Times New Roman"/>
          <w:spacing w:val="0"/>
          <w:kern w:val="2"/>
          <w:sz w:val="21"/>
          <w:szCs w:val="24"/>
          <w:lang w:val="en-US" w:eastAsia="zh-CN" w:bidi="ar"/>
        </w:rPr>
      </w:pPr>
      <w:bookmarkStart w:id="204" w:name="_Toc27593"/>
      <w:r>
        <w:rPr>
          <w:rFonts w:hint="eastAsia" w:ascii="黑体" w:hAnsi="Times New Roman" w:eastAsia="黑体" w:cs="Times New Roman"/>
          <w:spacing w:val="0"/>
          <w:kern w:val="2"/>
          <w:sz w:val="21"/>
          <w:szCs w:val="24"/>
          <w:lang w:val="en-US" w:eastAsia="zh-CN" w:bidi="ar"/>
        </w:rPr>
        <w:t>7</w:t>
      </w:r>
      <w:r>
        <w:rPr>
          <w:rFonts w:hint="eastAsia" w:ascii="黑体" w:hAnsi="Times New Roman" w:eastAsia="黑体" w:cs="Times New Roman"/>
          <w:sz w:val="21"/>
        </w:rPr>
        <w:t>.</w:t>
      </w:r>
      <w:r>
        <w:rPr>
          <w:rFonts w:hint="eastAsia" w:ascii="黑体" w:hAnsi="Times New Roman" w:eastAsia="黑体" w:cs="Times New Roman"/>
          <w:sz w:val="21"/>
          <w:lang w:val="en-US" w:eastAsia="zh-CN"/>
        </w:rPr>
        <w:t>6</w:t>
      </w:r>
      <w:r>
        <w:rPr>
          <w:rFonts w:hint="eastAsia" w:ascii="黑体" w:hAnsi="Times New Roman" w:eastAsia="黑体" w:cs="Times New Roman"/>
          <w:sz w:val="21"/>
        </w:rPr>
        <w:t>　</w:t>
      </w:r>
      <w:r>
        <w:rPr>
          <w:rFonts w:hint="eastAsia" w:ascii="黑体" w:hAnsi="Times New Roman" w:eastAsia="黑体" w:cs="Times New Roman"/>
          <w:sz w:val="21"/>
          <w:highlight w:val="none"/>
        </w:rPr>
        <w:t>资质能力管理</w:t>
      </w:r>
      <w:bookmarkEnd w:id="204"/>
    </w:p>
    <w:p w14:paraId="016D852D">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资质证书和人员资质能力证书可线上查询，联网上传至信息系统。</w:t>
      </w:r>
    </w:p>
    <w:p w14:paraId="36DACD1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定期对人员资质和实验室资质能力进行线上审核，包括但不限于资质证书的更新、注销、变更等。</w:t>
      </w:r>
    </w:p>
    <w:p w14:paraId="54574AE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具备方法标准管理，建立方法标准信息库，记录和提供标准管理变更提醒检测方法标准信息，能对方法进行作废处理，确保实验室使用的检测方法符合国家标准和行业规范。</w:t>
      </w:r>
    </w:p>
    <w:p w14:paraId="1079C16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方法分类管理功能基于相关标准，按检测项目或方法类别建立分类代码。</w:t>
      </w:r>
    </w:p>
    <w:p w14:paraId="362BE677">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方法验证或认记录功能需完整记录验证数据与结果，确保方法的适用性与合规性。</w:t>
      </w:r>
    </w:p>
    <w:p w14:paraId="261370B3">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食品实验室方法的数字化管理需确保方法的合规性和可追溯性，实现方法的引入、修改、废止等操作的可追溯管理。</w:t>
      </w:r>
    </w:p>
    <w:p w14:paraId="0458CF83">
      <w:pPr>
        <w:widowControl/>
        <w:tabs>
          <w:tab w:val="left" w:pos="315"/>
        </w:tabs>
        <w:adjustRightInd w:val="0"/>
        <w:snapToGrid w:val="0"/>
        <w:spacing w:beforeLines="50" w:afterLines="50" w:line="240" w:lineRule="auto"/>
        <w:jc w:val="left"/>
        <w:outlineLvl w:val="1"/>
        <w:rPr>
          <w:rFonts w:hint="eastAsia" w:ascii="黑体" w:hAnsi="Times New Roman" w:eastAsia="黑体" w:cs="Times New Roman"/>
          <w:sz w:val="21"/>
          <w:lang w:bidi="ar"/>
        </w:rPr>
      </w:pPr>
      <w:bookmarkStart w:id="205" w:name="_Toc792"/>
      <w:r>
        <w:rPr>
          <w:rFonts w:hint="eastAsia" w:ascii="黑体" w:hAnsi="Times New Roman" w:eastAsia="黑体" w:cs="Times New Roman"/>
          <w:sz w:val="21"/>
          <w:lang w:val="en-US" w:eastAsia="zh-CN" w:bidi="ar"/>
        </w:rPr>
        <w:t>7.7</w:t>
      </w:r>
      <w:r>
        <w:rPr>
          <w:rFonts w:hint="eastAsia" w:ascii="黑体" w:hAnsi="Times New Roman" w:eastAsia="黑体" w:cs="Times New Roman"/>
          <w:sz w:val="21"/>
          <w:lang w:bidi="ar"/>
        </w:rPr>
        <w:t>　</w:t>
      </w:r>
      <w:r>
        <w:rPr>
          <w:rFonts w:hint="eastAsia" w:ascii="黑体" w:hAnsi="Times New Roman" w:eastAsia="黑体" w:cs="Times New Roman"/>
          <w:sz w:val="21"/>
          <w:highlight w:val="none"/>
          <w:lang w:bidi="ar"/>
        </w:rPr>
        <w:t>环境管理</w:t>
      </w:r>
      <w:bookmarkEnd w:id="205"/>
    </w:p>
    <w:p w14:paraId="5E1585E1">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宋体" w:hAnsi="宋体" w:eastAsia="宋体" w:cs="宋体"/>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w:t>
      </w:r>
      <w:r>
        <w:rPr>
          <w:rFonts w:hint="eastAsia" w:ascii="宋体" w:hAnsi="宋体" w:eastAsia="宋体" w:cs="宋体"/>
          <w:spacing w:val="-3"/>
          <w:kern w:val="2"/>
          <w:sz w:val="21"/>
          <w:szCs w:val="21"/>
          <w:lang w:val="en-US" w:eastAsia="zh-CN" w:bidi="ar"/>
        </w:rPr>
        <w:t>利用物联网技术，自动记录温湿度和光照等关键环境参数并上传至实验室环境管理系统。</w:t>
      </w:r>
    </w:p>
    <w:p w14:paraId="491A57BF">
      <w:pPr>
        <w:keepNext w:val="0"/>
        <w:keepLines w:val="0"/>
        <w:pageBreakBefore w:val="0"/>
        <w:widowControl/>
        <w:tabs>
          <w:tab w:val="center" w:pos="4201"/>
          <w:tab w:val="right" w:leader="dot" w:pos="9298"/>
        </w:tabs>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宋体" w:hAnsi="宋体" w:eastAsia="宋体" w:cs="宋体"/>
          <w:spacing w:val="-3"/>
          <w:kern w:val="2"/>
          <w:sz w:val="21"/>
          <w:szCs w:val="21"/>
          <w:lang w:val="en-US" w:eastAsia="zh-CN" w:bidi="ar"/>
        </w:rPr>
      </w:pPr>
      <w:r>
        <w:rPr>
          <w:rFonts w:hint="eastAsia" w:ascii="宋体" w:hAnsi="宋体" w:eastAsia="宋体" w:cs="宋体"/>
          <w:spacing w:val="-3"/>
          <w:kern w:val="2"/>
          <w:sz w:val="21"/>
          <w:szCs w:val="21"/>
          <w:lang w:val="en-US" w:eastAsia="zh-CN" w:bidi="ar"/>
        </w:rPr>
        <w:t>具备实时监控、数据记录及异常报警功能，支持关键环境参数的动态管理。</w:t>
      </w:r>
    </w:p>
    <w:p w14:paraId="6A72C38A">
      <w:pPr>
        <w:keepNext w:val="0"/>
        <w:keepLines w:val="0"/>
        <w:pageBreakBefore w:val="0"/>
        <w:widowControl/>
        <w:tabs>
          <w:tab w:val="center" w:pos="4201"/>
          <w:tab w:val="right" w:leader="dot" w:pos="9298"/>
        </w:tabs>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宋体" w:hAnsi="宋体" w:eastAsia="宋体" w:cs="宋体"/>
          <w:spacing w:val="-3"/>
          <w:kern w:val="2"/>
          <w:sz w:val="21"/>
          <w:szCs w:val="21"/>
          <w:lang w:val="en-US" w:eastAsia="zh-CN" w:bidi="ar"/>
        </w:rPr>
      </w:pPr>
      <w:r>
        <w:rPr>
          <w:rFonts w:hint="eastAsia" w:ascii="宋体" w:hAnsi="宋体" w:eastAsia="宋体" w:cs="宋体"/>
          <w:spacing w:val="-3"/>
          <w:kern w:val="2"/>
          <w:sz w:val="21"/>
          <w:szCs w:val="21"/>
          <w:lang w:val="en-US" w:eastAsia="zh-CN" w:bidi="ar"/>
        </w:rPr>
        <w:t>具备环境事件的记录和追踪监控功能，包括环境事故、维修事件等，以便于事故调查和预防。</w:t>
      </w:r>
    </w:p>
    <w:p w14:paraId="3CA66255">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jc w:val="left"/>
        <w:textAlignment w:val="auto"/>
        <w:outlineLvl w:val="1"/>
        <w:rPr>
          <w:rFonts w:hint="eastAsia" w:ascii="黑体" w:hAnsi="Times New Roman" w:eastAsia="黑体" w:cs="Times New Roman"/>
          <w:sz w:val="21"/>
          <w:lang w:val="en-US" w:eastAsia="zh-CN" w:bidi="ar"/>
        </w:rPr>
      </w:pPr>
      <w:bookmarkStart w:id="206" w:name="_Toc26636"/>
      <w:r>
        <w:rPr>
          <w:rFonts w:hint="eastAsia" w:ascii="黑体" w:hAnsi="Times New Roman" w:eastAsia="黑体" w:cs="Times New Roman"/>
          <w:sz w:val="21"/>
          <w:lang w:val="en-US" w:eastAsia="zh-CN" w:bidi="ar"/>
        </w:rPr>
        <w:t>7.8</w:t>
      </w:r>
      <w:r>
        <w:rPr>
          <w:rFonts w:hint="eastAsia" w:ascii="黑体" w:hAnsi="Times New Roman" w:eastAsia="黑体" w:cs="Times New Roman"/>
          <w:sz w:val="21"/>
          <w:lang w:bidi="ar"/>
        </w:rPr>
        <w:t>　</w:t>
      </w:r>
      <w:r>
        <w:rPr>
          <w:rFonts w:hint="eastAsia" w:ascii="黑体" w:hAnsi="Times New Roman" w:eastAsia="黑体" w:cs="Times New Roman"/>
          <w:sz w:val="21"/>
          <w:lang w:val="en-US" w:eastAsia="zh-CN" w:bidi="ar"/>
        </w:rPr>
        <w:t>报告管理</w:t>
      </w:r>
      <w:bookmarkEnd w:id="206"/>
    </w:p>
    <w:p w14:paraId="633E90C5">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实验室实现</w:t>
      </w:r>
      <w:r>
        <w:rPr>
          <w:rFonts w:hint="eastAsia" w:ascii="宋体" w:hAnsi="宋体" w:eastAsia="宋体" w:cs="宋体"/>
          <w:sz w:val="21"/>
          <w:szCs w:val="21"/>
          <w:lang w:val="en-US" w:eastAsia="zh-CN"/>
        </w:rPr>
        <w:t>报告</w:t>
      </w:r>
      <w:r>
        <w:rPr>
          <w:rFonts w:hint="default" w:ascii="宋体" w:hAnsi="宋体" w:eastAsia="宋体" w:cs="宋体"/>
          <w:sz w:val="21"/>
          <w:szCs w:val="21"/>
          <w:lang w:val="en-US" w:eastAsia="zh-CN"/>
        </w:rPr>
        <w:t>的电子化分析，包括</w:t>
      </w:r>
      <w:r>
        <w:rPr>
          <w:rFonts w:hint="eastAsia" w:ascii="宋体" w:hAnsi="宋体" w:eastAsia="宋体" w:cs="宋体"/>
          <w:sz w:val="21"/>
          <w:szCs w:val="21"/>
          <w:lang w:val="en-US" w:eastAsia="zh-CN"/>
        </w:rPr>
        <w:t>但不限于</w:t>
      </w:r>
      <w:r>
        <w:rPr>
          <w:rFonts w:hint="default" w:ascii="宋体" w:hAnsi="宋体" w:eastAsia="宋体" w:cs="宋体"/>
          <w:sz w:val="21"/>
          <w:szCs w:val="21"/>
          <w:lang w:val="en-US" w:eastAsia="zh-CN"/>
        </w:rPr>
        <w:t>统计分析、趋势分析和异常检测等。</w:t>
      </w:r>
    </w:p>
    <w:p w14:paraId="014752B8">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具备自动化报告生成功能，能够根据分析结果自动生成测试报告和证书。</w:t>
      </w:r>
    </w:p>
    <w:p w14:paraId="780EAD6A">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报告</w:t>
      </w:r>
      <w:r>
        <w:rPr>
          <w:rFonts w:hint="default" w:ascii="宋体" w:hAnsi="宋体" w:eastAsia="宋体" w:cs="宋体"/>
          <w:sz w:val="21"/>
          <w:szCs w:val="21"/>
          <w:lang w:val="en-US" w:eastAsia="zh-CN"/>
        </w:rPr>
        <w:t>数据能自动抓取，同时具备审计追踪功能，能够记录</w:t>
      </w:r>
      <w:r>
        <w:rPr>
          <w:rFonts w:hint="eastAsia" w:ascii="宋体" w:hAnsi="宋体" w:eastAsia="宋体" w:cs="宋体"/>
          <w:sz w:val="21"/>
          <w:szCs w:val="21"/>
          <w:lang w:val="en-US" w:eastAsia="zh-CN"/>
        </w:rPr>
        <w:t>样品</w:t>
      </w:r>
      <w:r>
        <w:rPr>
          <w:rFonts w:hint="default" w:ascii="宋体" w:hAnsi="宋体" w:eastAsia="宋体" w:cs="宋体"/>
          <w:sz w:val="21"/>
          <w:szCs w:val="21"/>
          <w:lang w:val="en-US" w:eastAsia="zh-CN"/>
        </w:rPr>
        <w:t>信息、检验结果报告的修改情况</w:t>
      </w:r>
      <w:r>
        <w:rPr>
          <w:rFonts w:hint="eastAsia" w:ascii="宋体" w:hAnsi="宋体" w:eastAsia="宋体" w:cs="宋体"/>
          <w:sz w:val="21"/>
          <w:szCs w:val="21"/>
          <w:lang w:val="en-US" w:eastAsia="zh-CN"/>
        </w:rPr>
        <w:t>。</w:t>
      </w:r>
    </w:p>
    <w:p w14:paraId="678E9EB2">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建立报告档案库，确保报告的长期保存和可追溯性，同时支持报告的电子化共享，方便实验室内部和外部相关人员对报告的查阅和使用</w:t>
      </w:r>
      <w:r>
        <w:rPr>
          <w:rFonts w:hint="eastAsia" w:ascii="宋体" w:hAnsi="宋体" w:eastAsia="宋体" w:cs="宋体"/>
          <w:sz w:val="21"/>
          <w:szCs w:val="21"/>
          <w:lang w:val="en-US" w:eastAsia="zh-CN"/>
        </w:rPr>
        <w:t>。</w:t>
      </w:r>
    </w:p>
    <w:p w14:paraId="3CE8BF1D">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jc w:val="left"/>
        <w:textAlignment w:val="auto"/>
        <w:outlineLvl w:val="1"/>
        <w:rPr>
          <w:rFonts w:hint="eastAsia" w:ascii="黑体" w:hAnsi="Times New Roman" w:eastAsia="黑体" w:cs="Times New Roman"/>
          <w:sz w:val="21"/>
          <w:szCs w:val="24"/>
          <w:lang w:val="en-US" w:eastAsia="zh-CN" w:bidi="ar"/>
        </w:rPr>
      </w:pPr>
      <w:bookmarkStart w:id="207" w:name="_Toc3132"/>
      <w:r>
        <w:rPr>
          <w:rFonts w:hint="eastAsia" w:ascii="黑体" w:hAnsi="Times New Roman" w:eastAsia="黑体" w:cs="Times New Roman"/>
          <w:sz w:val="21"/>
          <w:szCs w:val="24"/>
          <w:lang w:val="en-US" w:eastAsia="zh-CN" w:bidi="ar"/>
        </w:rPr>
        <w:t>7.9</w:t>
      </w:r>
      <w:r>
        <w:rPr>
          <w:rFonts w:hint="eastAsia" w:ascii="黑体" w:hAnsi="Times New Roman" w:eastAsia="黑体" w:cs="Times New Roman"/>
          <w:sz w:val="21"/>
          <w:lang w:bidi="ar"/>
        </w:rPr>
        <w:t>　</w:t>
      </w:r>
      <w:r>
        <w:rPr>
          <w:rFonts w:hint="eastAsia" w:ascii="黑体" w:hAnsi="Times New Roman" w:eastAsia="黑体" w:cs="Times New Roman"/>
          <w:sz w:val="21"/>
          <w:lang w:val="en-US" w:eastAsia="zh-CN" w:bidi="ar"/>
        </w:rPr>
        <w:t>检测</w:t>
      </w:r>
      <w:r>
        <w:rPr>
          <w:rFonts w:hint="eastAsia" w:ascii="黑体" w:hAnsi="Times New Roman" w:eastAsia="黑体" w:cs="Times New Roman"/>
          <w:sz w:val="21"/>
          <w:szCs w:val="24"/>
          <w:lang w:val="en-US" w:eastAsia="zh-CN" w:bidi="ar"/>
        </w:rPr>
        <w:t>管理</w:t>
      </w:r>
      <w:bookmarkEnd w:id="207"/>
    </w:p>
    <w:p w14:paraId="2DA562C6">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实验室</w:t>
      </w:r>
      <w:r>
        <w:rPr>
          <w:rFonts w:hint="eastAsia" w:ascii="宋体" w:hAnsi="宋体" w:eastAsia="宋体" w:cs="宋体"/>
          <w:sz w:val="21"/>
          <w:szCs w:val="21"/>
          <w:lang w:val="en-US" w:eastAsia="zh-CN"/>
        </w:rPr>
        <w:t>具备</w:t>
      </w:r>
      <w:r>
        <w:rPr>
          <w:rFonts w:hint="default" w:ascii="宋体" w:hAnsi="宋体" w:eastAsia="宋体" w:cs="宋体"/>
          <w:sz w:val="21"/>
          <w:szCs w:val="21"/>
          <w:lang w:val="en-US" w:eastAsia="zh-CN"/>
        </w:rPr>
        <w:t>数字化</w:t>
      </w:r>
      <w:r>
        <w:rPr>
          <w:rFonts w:hint="eastAsia" w:ascii="宋体" w:hAnsi="宋体" w:eastAsia="宋体" w:cs="宋体"/>
          <w:sz w:val="21"/>
          <w:szCs w:val="21"/>
          <w:lang w:val="en-US" w:eastAsia="zh-CN"/>
        </w:rPr>
        <w:t>检测</w:t>
      </w:r>
      <w:r>
        <w:rPr>
          <w:rFonts w:hint="default" w:ascii="宋体" w:hAnsi="宋体" w:eastAsia="宋体" w:cs="宋体"/>
          <w:sz w:val="21"/>
          <w:szCs w:val="21"/>
          <w:lang w:val="en-US" w:eastAsia="zh-CN"/>
        </w:rPr>
        <w:t>项目管理系统，配置专业人员负责测试项目的规划、执行和监控工作。</w:t>
      </w:r>
    </w:p>
    <w:p w14:paraId="09AC7588">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实现</w:t>
      </w:r>
      <w:r>
        <w:rPr>
          <w:rFonts w:hint="eastAsia" w:ascii="宋体" w:hAnsi="宋体" w:eastAsia="宋体" w:cs="宋体"/>
          <w:sz w:val="21"/>
          <w:szCs w:val="21"/>
          <w:lang w:val="en-US" w:eastAsia="zh-CN"/>
        </w:rPr>
        <w:t>检测</w:t>
      </w:r>
      <w:r>
        <w:rPr>
          <w:rFonts w:hint="default" w:ascii="宋体" w:hAnsi="宋体" w:eastAsia="宋体" w:cs="宋体"/>
          <w:sz w:val="21"/>
          <w:szCs w:val="21"/>
          <w:lang w:val="en-US" w:eastAsia="zh-CN"/>
        </w:rPr>
        <w:t>项目的电子化管理，包括</w:t>
      </w:r>
      <w:r>
        <w:rPr>
          <w:rFonts w:hint="eastAsia" w:ascii="宋体" w:hAnsi="宋体" w:eastAsia="宋体" w:cs="宋体"/>
          <w:sz w:val="21"/>
          <w:szCs w:val="21"/>
          <w:lang w:val="en-US" w:eastAsia="zh-CN"/>
        </w:rPr>
        <w:t>但不限于</w:t>
      </w:r>
      <w:r>
        <w:rPr>
          <w:rFonts w:hint="default" w:ascii="宋体" w:hAnsi="宋体" w:eastAsia="宋体" w:cs="宋体"/>
          <w:sz w:val="21"/>
          <w:szCs w:val="21"/>
          <w:lang w:val="en-US" w:eastAsia="zh-CN"/>
        </w:rPr>
        <w:t>项目计划、进度跟踪、资源分配和风险管理。</w:t>
      </w:r>
    </w:p>
    <w:p w14:paraId="076A75EF">
      <w:pPr>
        <w:keepNext w:val="0"/>
        <w:keepLines w:val="0"/>
        <w:pageBreakBefore w:val="0"/>
        <w:widowControl w:val="0"/>
        <w:kinsoku/>
        <w:wordWrap/>
        <w:overflowPunct/>
        <w:topLinePunct w:val="0"/>
        <w:autoSpaceDE/>
        <w:autoSpaceDN/>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能</w:t>
      </w:r>
      <w:r>
        <w:rPr>
          <w:rFonts w:hint="eastAsia" w:ascii="宋体" w:hAnsi="宋体" w:eastAsia="宋体" w:cs="宋体"/>
          <w:sz w:val="21"/>
          <w:szCs w:val="21"/>
          <w:lang w:val="en-US" w:eastAsia="zh-CN"/>
        </w:rPr>
        <w:t>够</w:t>
      </w:r>
      <w:r>
        <w:rPr>
          <w:rFonts w:hint="default" w:ascii="宋体" w:hAnsi="宋体" w:eastAsia="宋体" w:cs="宋体"/>
          <w:sz w:val="21"/>
          <w:szCs w:val="21"/>
          <w:lang w:val="en-US" w:eastAsia="zh-CN"/>
        </w:rPr>
        <w:t>对色谱、光谱等大型检验检测仪器数据处理软件产生的结果数据进行自动采集、解析，并</w:t>
      </w:r>
    </w:p>
    <w:p w14:paraId="14ED4A09">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将解析后的结果自动适配至数字化检验检测原始记录。</w:t>
      </w:r>
    </w:p>
    <w:p w14:paraId="31B15D2A">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Chars="0"/>
        <w:jc w:val="left"/>
        <w:textAlignment w:val="auto"/>
        <w:outlineLvl w:val="1"/>
        <w:rPr>
          <w:rFonts w:hint="eastAsia" w:ascii="黑体" w:hAnsi="Times New Roman" w:eastAsia="黑体" w:cs="Times New Roman"/>
          <w:color w:val="auto"/>
          <w:kern w:val="2"/>
          <w:sz w:val="21"/>
          <w:szCs w:val="24"/>
          <w:lang w:val="en-US" w:eastAsia="zh-CN" w:bidi="ar"/>
        </w:rPr>
      </w:pPr>
      <w:bookmarkStart w:id="208" w:name="_Toc27509"/>
      <w:r>
        <w:rPr>
          <w:rFonts w:hint="eastAsia" w:ascii="黑体" w:hAnsi="Times New Roman" w:eastAsia="黑体" w:cs="Times New Roman"/>
          <w:sz w:val="21"/>
          <w:szCs w:val="24"/>
          <w:lang w:val="en-US" w:eastAsia="zh-CN" w:bidi="ar"/>
        </w:rPr>
        <w:t>7.10</w:t>
      </w:r>
      <w:r>
        <w:rPr>
          <w:rFonts w:hint="eastAsia" w:ascii="黑体" w:hAnsi="Times New Roman" w:eastAsia="黑体" w:cs="Times New Roman"/>
          <w:sz w:val="21"/>
          <w:lang w:bidi="ar"/>
        </w:rPr>
        <w:t>　</w:t>
      </w:r>
      <w:r>
        <w:rPr>
          <w:rFonts w:hint="eastAsia" w:ascii="黑体" w:hAnsi="Times New Roman" w:eastAsia="黑体" w:cs="Times New Roman"/>
          <w:sz w:val="21"/>
          <w:lang w:val="en-US" w:eastAsia="zh-CN" w:bidi="ar"/>
        </w:rPr>
        <w:t>质量</w:t>
      </w:r>
      <w:r>
        <w:rPr>
          <w:rFonts w:hint="eastAsia" w:ascii="黑体" w:hAnsi="Times New Roman" w:eastAsia="黑体" w:cs="Times New Roman"/>
          <w:sz w:val="21"/>
          <w:szCs w:val="24"/>
          <w:lang w:val="en-US" w:eastAsia="zh-CN" w:bidi="ar"/>
        </w:rPr>
        <w:t>管理</w:t>
      </w:r>
      <w:bookmarkEnd w:id="208"/>
    </w:p>
    <w:p w14:paraId="55C9CD67">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实验室质量管理</w:t>
      </w:r>
      <w:r>
        <w:rPr>
          <w:rFonts w:hint="default" w:ascii="宋体" w:hAnsi="宋体" w:eastAsia="宋体" w:cs="宋体"/>
          <w:sz w:val="21"/>
          <w:szCs w:val="21"/>
          <w:lang w:val="en-US" w:eastAsia="zh-CN"/>
        </w:rPr>
        <w:t>系统支持质量控制计划创建、执行和监督</w:t>
      </w:r>
      <w:r>
        <w:rPr>
          <w:rFonts w:hint="eastAsia" w:ascii="宋体" w:hAnsi="宋体" w:eastAsia="宋体" w:cs="宋体"/>
          <w:sz w:val="21"/>
          <w:szCs w:val="21"/>
          <w:lang w:val="en-US" w:eastAsia="zh-CN"/>
        </w:rPr>
        <w:t>的</w:t>
      </w:r>
      <w:r>
        <w:rPr>
          <w:rFonts w:hint="default" w:ascii="宋体" w:hAnsi="宋体" w:eastAsia="宋体" w:cs="宋体"/>
          <w:sz w:val="21"/>
          <w:szCs w:val="21"/>
          <w:lang w:val="en-US" w:eastAsia="zh-CN"/>
        </w:rPr>
        <w:t>记录和管理</w:t>
      </w:r>
      <w:r>
        <w:rPr>
          <w:rFonts w:hint="eastAsia" w:ascii="宋体" w:hAnsi="宋体" w:eastAsia="宋体" w:cs="宋体"/>
          <w:sz w:val="21"/>
          <w:szCs w:val="21"/>
          <w:lang w:val="en-US" w:eastAsia="zh-CN"/>
        </w:rPr>
        <w:t>功能。</w:t>
      </w:r>
    </w:p>
    <w:p w14:paraId="381AA9D8">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制定并维护数字化质量电子手册，明确实验室的质量方针、目标和管理体系，包括质量政策、组织结构、职责分配等。</w:t>
      </w:r>
    </w:p>
    <w:p w14:paraId="1643976D">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通过信息化系统进行实验室</w:t>
      </w:r>
      <w:r>
        <w:rPr>
          <w:rFonts w:hint="eastAsia" w:ascii="宋体" w:hAnsi="宋体" w:eastAsia="宋体" w:cs="宋体"/>
          <w:sz w:val="21"/>
          <w:szCs w:val="21"/>
          <w:lang w:val="en-US" w:eastAsia="zh-CN"/>
        </w:rPr>
        <w:t>线上</w:t>
      </w:r>
      <w:r>
        <w:rPr>
          <w:rFonts w:hint="default" w:ascii="宋体" w:hAnsi="宋体" w:eastAsia="宋体" w:cs="宋体"/>
          <w:sz w:val="21"/>
          <w:szCs w:val="21"/>
          <w:lang w:val="en-US" w:eastAsia="zh-CN"/>
        </w:rPr>
        <w:t>程序文件管理，</w:t>
      </w:r>
      <w:r>
        <w:rPr>
          <w:rFonts w:hint="eastAsia" w:ascii="宋体" w:hAnsi="宋体" w:eastAsia="宋体" w:cs="宋体"/>
          <w:sz w:val="21"/>
          <w:szCs w:val="21"/>
          <w:lang w:val="en-US" w:eastAsia="zh-CN"/>
        </w:rPr>
        <w:t>记录</w:t>
      </w:r>
      <w:r>
        <w:rPr>
          <w:rFonts w:hint="default" w:ascii="宋体" w:hAnsi="宋体" w:eastAsia="宋体" w:cs="宋体"/>
          <w:sz w:val="21"/>
          <w:szCs w:val="21"/>
          <w:lang w:val="en-US" w:eastAsia="zh-CN"/>
        </w:rPr>
        <w:t>各项质量活动，</w:t>
      </w:r>
      <w:r>
        <w:rPr>
          <w:rFonts w:hint="eastAsia" w:ascii="宋体" w:hAnsi="宋体" w:eastAsia="宋体" w:cs="宋体"/>
          <w:sz w:val="21"/>
          <w:szCs w:val="21"/>
          <w:lang w:val="en-US" w:eastAsia="zh-CN"/>
        </w:rPr>
        <w:t>包括但不限于</w:t>
      </w:r>
      <w:r>
        <w:rPr>
          <w:rFonts w:hint="default" w:ascii="宋体" w:hAnsi="宋体" w:eastAsia="宋体" w:cs="宋体"/>
          <w:sz w:val="21"/>
          <w:szCs w:val="21"/>
          <w:lang w:val="en-US" w:eastAsia="zh-CN"/>
        </w:rPr>
        <w:t>文件控制、记录管理、内部审核、管理评审等</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实现自动化的审批和分发。</w:t>
      </w:r>
    </w:p>
    <w:p w14:paraId="14248BC9">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制定电子作业指导书具体操作步骤和方法，确保实验室的检测和校准活动标准化、规范化。</w:t>
      </w:r>
    </w:p>
    <w:p w14:paraId="37183A05">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能线上</w:t>
      </w:r>
      <w:r>
        <w:rPr>
          <w:rFonts w:hint="default" w:ascii="宋体" w:hAnsi="宋体" w:eastAsia="宋体" w:cs="宋体"/>
          <w:sz w:val="21"/>
          <w:szCs w:val="21"/>
          <w:lang w:val="en-US" w:eastAsia="zh-CN"/>
        </w:rPr>
        <w:t>管理所有文件（包括质量手册、程序文件、作业指导书等），确保文件的最新性和有效性，防止使用过时或无效的文件。</w:t>
      </w:r>
      <w:r>
        <w:rPr>
          <w:rFonts w:hint="eastAsia" w:ascii="宋体" w:hAnsi="宋体" w:eastAsia="宋体" w:cs="宋体"/>
          <w:sz w:val="21"/>
          <w:szCs w:val="21"/>
          <w:lang w:val="en-US" w:eastAsia="zh-CN"/>
        </w:rPr>
        <w:t>同时</w:t>
      </w:r>
      <w:r>
        <w:rPr>
          <w:rFonts w:hint="default" w:ascii="宋体" w:hAnsi="宋体" w:eastAsia="宋体" w:cs="宋体"/>
          <w:sz w:val="21"/>
          <w:szCs w:val="21"/>
          <w:lang w:val="en-US" w:eastAsia="zh-CN"/>
        </w:rPr>
        <w:t>自动记录文件的分发情况，便于追溯。</w:t>
      </w:r>
    </w:p>
    <w:p w14:paraId="0FE646F6">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具备文件</w:t>
      </w:r>
      <w:r>
        <w:rPr>
          <w:rFonts w:hint="default" w:ascii="宋体" w:hAnsi="宋体" w:eastAsia="宋体" w:cs="宋体"/>
          <w:sz w:val="21"/>
          <w:szCs w:val="21"/>
          <w:lang w:val="en-US" w:eastAsia="zh-CN"/>
        </w:rPr>
        <w:t>发布、修订和废止的审批流程，审批过程通过信息化系统自动记录。</w:t>
      </w:r>
    </w:p>
    <w:p w14:paraId="13256120">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ascii="宋体" w:hAnsi="宋体" w:eastAsia="宋体" w:cs="宋体"/>
          <w:sz w:val="21"/>
          <w:szCs w:val="21"/>
        </w:rPr>
      </w:pPr>
      <w:r>
        <w:rPr>
          <w:rFonts w:hint="eastAsia" w:ascii="宋体" w:hAnsi="宋体" w:eastAsia="宋体" w:cs="宋体"/>
          <w:color w:val="000000"/>
          <w:kern w:val="0"/>
          <w:sz w:val="21"/>
          <w:szCs w:val="21"/>
          <w:lang w:val="en-US" w:eastAsia="zh-CN" w:bidi="ar"/>
        </w:rPr>
        <w:t>实验室能实现质量控制电子化，包括内部审核、外部审核和不符合项的跟踪管理，</w:t>
      </w:r>
      <w:r>
        <w:rPr>
          <w:rFonts w:hint="eastAsia" w:ascii="宋体" w:hAnsi="宋体" w:eastAsia="宋体" w:cs="宋体"/>
          <w:sz w:val="21"/>
          <w:szCs w:val="21"/>
          <w:lang w:val="en-US" w:eastAsia="zh-CN"/>
        </w:rPr>
        <w:t>同时具备</w:t>
      </w:r>
      <w:r>
        <w:rPr>
          <w:rFonts w:ascii="宋体" w:hAnsi="宋体" w:eastAsia="宋体" w:cs="宋体"/>
          <w:sz w:val="21"/>
          <w:szCs w:val="21"/>
        </w:rPr>
        <w:t>存档</w:t>
      </w:r>
      <w:r>
        <w:rPr>
          <w:rFonts w:hint="eastAsia" w:ascii="宋体" w:hAnsi="宋体" w:eastAsia="宋体" w:cs="宋体"/>
          <w:sz w:val="21"/>
          <w:szCs w:val="21"/>
        </w:rPr>
        <w:t>备份</w:t>
      </w:r>
      <w:r>
        <w:rPr>
          <w:rFonts w:hint="eastAsia" w:ascii="宋体" w:hAnsi="宋体" w:eastAsia="宋体" w:cs="宋体"/>
          <w:sz w:val="21"/>
          <w:szCs w:val="21"/>
          <w:lang w:eastAsia="zh-CN"/>
        </w:rPr>
        <w:t>、</w:t>
      </w:r>
      <w:r>
        <w:rPr>
          <w:rFonts w:hint="eastAsia" w:ascii="宋体" w:hAnsi="宋体" w:eastAsia="宋体" w:cs="宋体"/>
          <w:sz w:val="21"/>
          <w:szCs w:val="21"/>
        </w:rPr>
        <w:t>应急预案，上线前测试验收环节。</w:t>
      </w:r>
    </w:p>
    <w:p w14:paraId="7B0DB0D7">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ascii="宋体" w:hAnsi="宋体" w:eastAsia="宋体" w:cs="宋体"/>
          <w:sz w:val="21"/>
          <w:szCs w:val="21"/>
        </w:rPr>
      </w:pPr>
      <w:r>
        <w:rPr>
          <w:rFonts w:ascii="宋体" w:hAnsi="宋体" w:eastAsia="宋体" w:cs="宋体"/>
          <w:sz w:val="21"/>
          <w:szCs w:val="21"/>
        </w:rPr>
        <w:t>系统自动记录质量控制活动，如</w:t>
      </w:r>
      <w:r>
        <w:rPr>
          <w:rFonts w:hint="eastAsia" w:ascii="宋体" w:hAnsi="宋体" w:eastAsia="宋体" w:cs="宋体"/>
          <w:sz w:val="21"/>
          <w:szCs w:val="21"/>
        </w:rPr>
        <w:t>设备的计量溯源</w:t>
      </w:r>
      <w:r>
        <w:rPr>
          <w:rFonts w:ascii="宋体" w:hAnsi="宋体" w:eastAsia="宋体" w:cs="宋体"/>
          <w:sz w:val="21"/>
          <w:szCs w:val="21"/>
        </w:rPr>
        <w:t>、测试方法验证等，确保实验室操作符合相关标准。</w:t>
      </w:r>
    </w:p>
    <w:p w14:paraId="382A7A80">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能够自动检测质量控制数据偏差，</w:t>
      </w:r>
      <w:r>
        <w:rPr>
          <w:rFonts w:hint="eastAsia" w:ascii="宋体" w:hAnsi="宋体" w:eastAsia="宋体" w:cs="宋体"/>
          <w:sz w:val="21"/>
          <w:szCs w:val="21"/>
          <w:lang w:val="en-US" w:eastAsia="zh-CN"/>
        </w:rPr>
        <w:t>提示报错，</w:t>
      </w:r>
      <w:r>
        <w:rPr>
          <w:rFonts w:ascii="宋体" w:hAnsi="宋体" w:eastAsia="宋体" w:cs="宋体"/>
          <w:sz w:val="21"/>
          <w:szCs w:val="21"/>
        </w:rPr>
        <w:t>并记录整改</w:t>
      </w:r>
      <w:r>
        <w:rPr>
          <w:rFonts w:hint="eastAsia" w:ascii="宋体" w:hAnsi="宋体" w:eastAsia="宋体" w:cs="宋体"/>
          <w:sz w:val="21"/>
          <w:szCs w:val="21"/>
          <w:lang w:val="en-US" w:eastAsia="zh-CN"/>
        </w:rPr>
        <w:t>过程</w:t>
      </w:r>
      <w:r>
        <w:rPr>
          <w:rFonts w:hint="default" w:ascii="宋体" w:hAnsi="宋体" w:eastAsia="宋体" w:cs="宋体"/>
          <w:sz w:val="21"/>
          <w:szCs w:val="21"/>
          <w:lang w:val="en-US" w:eastAsia="zh-CN"/>
        </w:rPr>
        <w:t>。</w:t>
      </w:r>
    </w:p>
    <w:p w14:paraId="4D001E01">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具备访问控制和数据加密功能，防止记录的泄露或未经授权的访问。</w:t>
      </w:r>
    </w:p>
    <w:p w14:paraId="1D119B09">
      <w:pPr>
        <w:pStyle w:val="42"/>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Style w:val="25"/>
          <w:rFonts w:hint="eastAsia" w:hAnsi="宋体" w:cs="宋体"/>
          <w:szCs w:val="21"/>
          <w:lang w:val="en-US" w:eastAsia="zh-CN"/>
        </w:rPr>
        <w:t>支持风险控制过程的记录和管理，制定和实施风险控制措施。</w:t>
      </w:r>
    </w:p>
    <w:p w14:paraId="71DF2F62">
      <w:pPr>
        <w:pStyle w:val="41"/>
        <w:keepNext w:val="0"/>
        <w:keepLines w:val="0"/>
        <w:pageBreakBefore w:val="0"/>
        <w:widowControl/>
        <w:kinsoku/>
        <w:wordWrap/>
        <w:overflowPunct/>
        <w:topLinePunct w:val="0"/>
        <w:autoSpaceDE/>
        <w:autoSpaceDN/>
        <w:bidi w:val="0"/>
        <w:adjustRightInd w:val="0"/>
        <w:snapToGrid w:val="0"/>
        <w:spacing w:before="390" w:beforeLines="100" w:after="390" w:afterLines="100" w:line="240" w:lineRule="auto"/>
        <w:ind w:left="0"/>
        <w:jc w:val="left"/>
        <w:textAlignment w:val="auto"/>
        <w:outlineLvl w:val="0"/>
        <w:rPr>
          <w:rFonts w:hint="eastAsia" w:ascii="黑体" w:hAnsi="Times New Roman" w:eastAsia="黑体" w:cs="Times New Roman"/>
          <w:sz w:val="21"/>
          <w:lang w:val="en-US" w:eastAsia="zh-CN"/>
        </w:rPr>
      </w:pPr>
      <w:bookmarkStart w:id="209" w:name="_Toc7113"/>
      <w:bookmarkStart w:id="210" w:name="_Toc400"/>
      <w:bookmarkStart w:id="211" w:name="_Toc23450"/>
      <w:bookmarkStart w:id="212" w:name="_Toc8694"/>
      <w:r>
        <w:rPr>
          <w:rFonts w:hint="eastAsia" w:ascii="黑体" w:hAnsi="Times New Roman" w:eastAsia="黑体" w:cs="Times New Roman"/>
          <w:sz w:val="21"/>
          <w:lang w:val="en-US" w:eastAsia="zh-CN"/>
        </w:rPr>
        <w:t>8</w:t>
      </w:r>
      <w:r>
        <w:rPr>
          <w:rFonts w:hint="eastAsia" w:ascii="黑体" w:hAnsi="Times New Roman" w:eastAsia="黑体" w:cs="Times New Roman"/>
          <w:sz w:val="21"/>
        </w:rPr>
        <w:t>　</w:t>
      </w:r>
      <w:r>
        <w:rPr>
          <w:rFonts w:hint="eastAsia" w:ascii="黑体" w:hAnsi="Times New Roman" w:eastAsia="黑体" w:cs="Times New Roman"/>
          <w:sz w:val="21"/>
          <w:lang w:val="en-US" w:eastAsia="zh-CN"/>
        </w:rPr>
        <w:t>A</w:t>
      </w:r>
      <w:r>
        <w:rPr>
          <w:rFonts w:hint="eastAsia" w:ascii="黑体" w:hAnsi="Times New Roman" w:eastAsia="黑体" w:cs="Times New Roman"/>
          <w:sz w:val="21"/>
        </w:rPr>
        <w:t>级</w:t>
      </w:r>
      <w:r>
        <w:rPr>
          <w:rFonts w:hint="eastAsia" w:cs="Times New Roman"/>
          <w:sz w:val="21"/>
          <w:lang w:val="en-US" w:eastAsia="zh-CN"/>
        </w:rPr>
        <w:t>食品</w:t>
      </w:r>
      <w:r>
        <w:rPr>
          <w:rFonts w:hint="eastAsia" w:ascii="黑体" w:hAnsi="Times New Roman" w:eastAsia="黑体" w:cs="Times New Roman"/>
          <w:sz w:val="21"/>
        </w:rPr>
        <w:t>实验室</w:t>
      </w:r>
      <w:bookmarkEnd w:id="209"/>
      <w:r>
        <w:rPr>
          <w:rFonts w:hint="eastAsia" w:ascii="黑体" w:hAnsi="Times New Roman" w:eastAsia="黑体" w:cs="Times New Roman"/>
          <w:sz w:val="21"/>
          <w:lang w:val="en-US" w:eastAsia="zh-CN"/>
        </w:rPr>
        <w:t>数字化管理</w:t>
      </w:r>
      <w:bookmarkEnd w:id="210"/>
      <w:bookmarkEnd w:id="211"/>
      <w:bookmarkEnd w:id="212"/>
    </w:p>
    <w:p w14:paraId="7D307164">
      <w:pPr>
        <w:keepNext w:val="0"/>
        <w:keepLines w:val="0"/>
        <w:pageBreakBefore w:val="0"/>
        <w:widowControl/>
        <w:tabs>
          <w:tab w:val="left" w:pos="315"/>
        </w:tabs>
        <w:kinsoku/>
        <w:wordWrap/>
        <w:overflowPunct/>
        <w:topLinePunct w:val="0"/>
        <w:autoSpaceDE/>
        <w:autoSpaceDN/>
        <w:bidi w:val="0"/>
        <w:adjustRightInd w:val="0"/>
        <w:snapToGrid w:val="0"/>
        <w:spacing w:beforeLines="50" w:after="0" w:afterLines="50" w:line="240" w:lineRule="auto"/>
        <w:ind w:right="0"/>
        <w:jc w:val="left"/>
        <w:textAlignment w:val="auto"/>
        <w:outlineLvl w:val="1"/>
        <w:rPr>
          <w:rFonts w:hint="eastAsia" w:ascii="黑体" w:hAnsi="Times New Roman" w:eastAsia="黑体" w:cs="Times New Roman"/>
          <w:spacing w:val="0"/>
          <w:sz w:val="21"/>
          <w:szCs w:val="24"/>
          <w:lang w:val="en-US" w:eastAsia="zh-CN" w:bidi="ar"/>
        </w:rPr>
      </w:pPr>
      <w:bookmarkStart w:id="213" w:name="_Toc20010"/>
      <w:r>
        <w:rPr>
          <w:rFonts w:hint="eastAsia" w:ascii="黑体" w:hAnsi="Times New Roman" w:eastAsia="黑体" w:cs="Times New Roman"/>
          <w:sz w:val="21"/>
          <w:szCs w:val="24"/>
          <w:lang w:val="en-US" w:eastAsia="zh-CN" w:bidi="ar"/>
        </w:rPr>
        <w:t>8.1</w:t>
      </w:r>
      <w:r>
        <w:rPr>
          <w:rFonts w:hint="eastAsia" w:ascii="黑体" w:hAnsi="Times New Roman" w:eastAsia="黑体" w:cs="Times New Roman"/>
          <w:sz w:val="21"/>
          <w:lang w:bidi="ar"/>
        </w:rPr>
        <w:t>　</w:t>
      </w:r>
      <w:r>
        <w:rPr>
          <w:rFonts w:hint="eastAsia" w:ascii="黑体" w:hAnsi="Times New Roman" w:eastAsia="黑体" w:cs="Times New Roman"/>
          <w:sz w:val="21"/>
          <w:lang w:val="en-US" w:eastAsia="zh-CN" w:bidi="ar"/>
        </w:rPr>
        <w:t>概述</w:t>
      </w:r>
      <w:bookmarkEnd w:id="213"/>
    </w:p>
    <w:p w14:paraId="2EF1FDC1">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jc w:val="left"/>
        <w:textAlignment w:val="baseline"/>
        <w:outlineLvl w:val="9"/>
        <w:rPr>
          <w:rFonts w:hint="eastAsia" w:ascii="黑体" w:hAnsi="Times New Roman" w:eastAsia="黑体" w:cs="Times New Roman"/>
          <w:sz w:val="21"/>
          <w:lang w:val="en-US" w:eastAsia="zh-CN"/>
        </w:rPr>
      </w:pPr>
      <w:r>
        <w:rPr>
          <w:rFonts w:hint="eastAsia" w:ascii="Times New Roman" w:hAnsi="Times New Roman" w:eastAsia="宋体" w:cs="Times New Roman"/>
          <w:spacing w:val="-3"/>
          <w:sz w:val="21"/>
          <w:szCs w:val="21"/>
          <w:lang w:val="en-US" w:eastAsia="zh-CN"/>
        </w:rPr>
        <w:t>最高级别的数字化实验室，具备全面的数字化管理功能，在B、C级实验室基础上增加人员技术培训、设备全生命周期管理、全部试剂耗材线上管理、物料追溯、洁净区域监控、标准信息管理，实现实验室全方位、深层次的数字化管理，满足最复杂的实验室管理需求，保障实验室的高效、安全和合规运行。</w:t>
      </w:r>
    </w:p>
    <w:p w14:paraId="5C2492E3">
      <w:pPr>
        <w:keepNext w:val="0"/>
        <w:keepLines w:val="0"/>
        <w:pageBreakBefore w:val="0"/>
        <w:widowControl/>
        <w:tabs>
          <w:tab w:val="left" w:pos="315"/>
        </w:tabs>
        <w:kinsoku/>
        <w:wordWrap/>
        <w:overflowPunct/>
        <w:topLinePunct w:val="0"/>
        <w:autoSpaceDE/>
        <w:autoSpaceDN/>
        <w:bidi w:val="0"/>
        <w:adjustRightInd w:val="0"/>
        <w:snapToGrid w:val="0"/>
        <w:spacing w:before="0" w:beforeLines="50" w:after="0" w:afterLines="50" w:line="240" w:lineRule="auto"/>
        <w:ind w:firstLine="0" w:firstLineChars="0"/>
        <w:jc w:val="left"/>
        <w:textAlignment w:val="auto"/>
        <w:outlineLvl w:val="1"/>
        <w:rPr>
          <w:rFonts w:hint="eastAsia" w:ascii="黑体" w:hAnsi="Times New Roman" w:eastAsia="黑体" w:cs="Times New Roman"/>
          <w:spacing w:val="0"/>
          <w:sz w:val="21"/>
          <w:szCs w:val="24"/>
          <w:lang w:val="en-US" w:eastAsia="zh-CN"/>
        </w:rPr>
      </w:pPr>
      <w:bookmarkStart w:id="214" w:name="_Toc10286"/>
      <w:r>
        <w:rPr>
          <w:rFonts w:hint="eastAsia" w:ascii="黑体" w:hAnsi="Times New Roman" w:eastAsia="黑体" w:cs="Times New Roman"/>
          <w:sz w:val="21"/>
          <w:lang w:val="en-US" w:eastAsia="zh-CN"/>
        </w:rPr>
        <w:t>8.2</w:t>
      </w:r>
      <w:r>
        <w:rPr>
          <w:rFonts w:hint="eastAsia" w:ascii="黑体" w:hAnsi="Times New Roman" w:eastAsia="黑体" w:cs="Times New Roman"/>
          <w:sz w:val="21"/>
        </w:rPr>
        <w:t>　</w:t>
      </w:r>
      <w:r>
        <w:rPr>
          <w:rFonts w:hint="eastAsia" w:ascii="黑体" w:hAnsi="Times New Roman" w:eastAsia="黑体" w:cs="Times New Roman"/>
          <w:sz w:val="21"/>
          <w:lang w:val="en-US" w:eastAsia="zh-CN"/>
        </w:rPr>
        <w:t>人员管理</w:t>
      </w:r>
      <w:bookmarkEnd w:id="214"/>
    </w:p>
    <w:p w14:paraId="6E1C1F1E">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人员管理系统能够根据实验需求自动调整人员配置，进行人员智能排班。</w:t>
      </w:r>
    </w:p>
    <w:p w14:paraId="260DEC91">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自动记录人员培训管理，包括但不限于培训时间、内容和证书，建立人员监督和培训档案。</w:t>
      </w:r>
    </w:p>
    <w:p w14:paraId="66D7DB74">
      <w:pPr>
        <w:keepNext w:val="0"/>
        <w:keepLines w:val="0"/>
        <w:pageBreakBefore w:val="0"/>
        <w:widowControl/>
        <w:kinsoku w:val="0"/>
        <w:wordWrap/>
        <w:overflowPunct/>
        <w:topLinePunct w:val="0"/>
        <w:autoSpaceDE/>
        <w:autoSpaceDN/>
        <w:bidi w:val="0"/>
        <w:adjustRightInd w:val="0"/>
        <w:snapToGrid w:val="0"/>
        <w:spacing w:before="0" w:after="0" w:afterLines="0" w:line="240" w:lineRule="auto"/>
        <w:ind w:firstLine="414" w:firstLineChars="200"/>
        <w:textAlignment w:val="baseline"/>
        <w:outlineLvl w:val="9"/>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自动记录人员的考勤数据，生成人员考勤分析趋势，提供人员绩效评估报告。</w:t>
      </w:r>
    </w:p>
    <w:p w14:paraId="6D1E28A2">
      <w:pPr>
        <w:keepNext w:val="0"/>
        <w:keepLines w:val="0"/>
        <w:pageBreakBefore w:val="0"/>
        <w:widowControl/>
        <w:tabs>
          <w:tab w:val="left" w:pos="315"/>
        </w:tabs>
        <w:kinsoku/>
        <w:wordWrap/>
        <w:overflowPunct/>
        <w:topLinePunct w:val="0"/>
        <w:autoSpaceDE/>
        <w:autoSpaceDN/>
        <w:bidi w:val="0"/>
        <w:adjustRightInd w:val="0"/>
        <w:snapToGrid w:val="0"/>
        <w:spacing w:beforeLines="50" w:afterLines="50" w:line="240" w:lineRule="auto"/>
        <w:ind w:firstLine="0" w:firstLineChars="0"/>
        <w:jc w:val="left"/>
        <w:textAlignment w:val="auto"/>
        <w:outlineLvl w:val="1"/>
        <w:rPr>
          <w:rFonts w:hint="eastAsia" w:ascii="黑体" w:hAnsi="Times New Roman" w:eastAsia="黑体" w:cs="Times New Roman"/>
          <w:sz w:val="21"/>
        </w:rPr>
      </w:pPr>
      <w:bookmarkStart w:id="215" w:name="_Toc21754"/>
      <w:r>
        <w:rPr>
          <w:rFonts w:hint="eastAsia" w:ascii="黑体" w:hAnsi="Times New Roman" w:eastAsia="黑体" w:cs="Times New Roman"/>
          <w:sz w:val="21"/>
          <w:lang w:val="en-US" w:eastAsia="zh-CN"/>
        </w:rPr>
        <w:t>8</w:t>
      </w:r>
      <w:r>
        <w:rPr>
          <w:rFonts w:hint="eastAsia" w:ascii="黑体" w:hAnsi="Times New Roman" w:eastAsia="黑体" w:cs="Times New Roman"/>
          <w:sz w:val="21"/>
        </w:rPr>
        <w:t>.</w:t>
      </w:r>
      <w:r>
        <w:rPr>
          <w:rFonts w:hint="eastAsia" w:ascii="黑体" w:hAnsi="Times New Roman" w:eastAsia="黑体" w:cs="Times New Roman"/>
          <w:sz w:val="21"/>
          <w:lang w:val="en-US" w:eastAsia="zh-CN"/>
        </w:rPr>
        <w:t>3</w:t>
      </w:r>
      <w:r>
        <w:rPr>
          <w:rFonts w:hint="eastAsia" w:ascii="黑体" w:hAnsi="Times New Roman" w:eastAsia="黑体" w:cs="Times New Roman"/>
          <w:sz w:val="21"/>
        </w:rPr>
        <w:t>　设备管理</w:t>
      </w:r>
      <w:bookmarkEnd w:id="215"/>
    </w:p>
    <w:p w14:paraId="59AAF8EE">
      <w:pPr>
        <w:keepNext w:val="0"/>
        <w:keepLines w:val="0"/>
        <w:pageBreakBefore w:val="0"/>
        <w:widowControl/>
        <w:kinsoku w:val="0"/>
        <w:wordWrap/>
        <w:overflowPunct/>
        <w:topLinePunct w:val="0"/>
        <w:autoSpaceDE/>
        <w:autoSpaceDN/>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实时监控记录更新</w:t>
      </w:r>
      <w:r>
        <w:rPr>
          <w:rFonts w:hint="default" w:ascii="Times New Roman" w:hAnsi="Times New Roman" w:eastAsia="宋体" w:cs="Times New Roman"/>
          <w:spacing w:val="-3"/>
          <w:sz w:val="21"/>
          <w:szCs w:val="21"/>
          <w:lang w:val="en-US" w:eastAsia="zh-CN"/>
        </w:rPr>
        <w:t>设备的使用记录、</w:t>
      </w:r>
      <w:r>
        <w:rPr>
          <w:rFonts w:hint="eastAsia" w:ascii="Times New Roman" w:hAnsi="Times New Roman" w:eastAsia="宋体" w:cs="Times New Roman"/>
          <w:spacing w:val="-3"/>
          <w:sz w:val="21"/>
          <w:szCs w:val="21"/>
          <w:lang w:val="en-US" w:eastAsia="zh-CN"/>
        </w:rPr>
        <w:t>检定</w:t>
      </w:r>
      <w:r>
        <w:rPr>
          <w:rFonts w:hint="default" w:ascii="Times New Roman" w:hAnsi="Times New Roman" w:eastAsia="宋体" w:cs="Times New Roman"/>
          <w:spacing w:val="-3"/>
          <w:sz w:val="21"/>
          <w:szCs w:val="21"/>
          <w:lang w:val="en-US" w:eastAsia="zh-CN"/>
        </w:rPr>
        <w:t>记录</w:t>
      </w:r>
      <w:r>
        <w:rPr>
          <w:rFonts w:hint="eastAsia" w:ascii="Times New Roman" w:hAnsi="Times New Roman" w:eastAsia="宋体" w:cs="Times New Roman"/>
          <w:spacing w:val="-3"/>
          <w:sz w:val="21"/>
          <w:szCs w:val="21"/>
          <w:lang w:val="en-US" w:eastAsia="zh-CN"/>
        </w:rPr>
        <w:t>、</w:t>
      </w:r>
      <w:r>
        <w:rPr>
          <w:rFonts w:hint="default" w:ascii="Times New Roman" w:hAnsi="Times New Roman" w:eastAsia="宋体" w:cs="Times New Roman"/>
          <w:spacing w:val="-3"/>
          <w:sz w:val="21"/>
          <w:szCs w:val="21"/>
          <w:lang w:val="en-US" w:eastAsia="zh-CN"/>
        </w:rPr>
        <w:t>维修记录、故障记录等</w:t>
      </w:r>
      <w:r>
        <w:rPr>
          <w:rFonts w:hint="eastAsia" w:ascii="Times New Roman" w:hAnsi="Times New Roman" w:eastAsia="宋体" w:cs="Times New Roman"/>
          <w:spacing w:val="-3"/>
          <w:sz w:val="21"/>
          <w:szCs w:val="21"/>
          <w:lang w:val="en-US" w:eastAsia="zh-CN"/>
        </w:rPr>
        <w:t>数据</w:t>
      </w:r>
      <w:r>
        <w:rPr>
          <w:rFonts w:hint="default" w:ascii="Times New Roman" w:hAnsi="Times New Roman" w:eastAsia="宋体" w:cs="Times New Roman"/>
          <w:spacing w:val="-3"/>
          <w:sz w:val="21"/>
          <w:szCs w:val="21"/>
          <w:lang w:val="en-US" w:eastAsia="zh-CN"/>
        </w:rPr>
        <w:t>信息</w:t>
      </w:r>
      <w:r>
        <w:rPr>
          <w:rFonts w:hint="eastAsia" w:ascii="Times New Roman" w:hAnsi="Times New Roman" w:eastAsia="宋体" w:cs="Times New Roman"/>
          <w:spacing w:val="-3"/>
          <w:sz w:val="21"/>
          <w:szCs w:val="21"/>
          <w:lang w:val="en-US" w:eastAsia="zh-CN"/>
        </w:rPr>
        <w:t>，具备智能预警和调节功能。</w:t>
      </w:r>
    </w:p>
    <w:p w14:paraId="14DB596D">
      <w:pPr>
        <w:keepNext w:val="0"/>
        <w:keepLines w:val="0"/>
        <w:pageBreakBefore w:val="0"/>
        <w:widowControl/>
        <w:tabs>
          <w:tab w:val="left" w:pos="315"/>
        </w:tabs>
        <w:kinsoku/>
        <w:wordWrap/>
        <w:overflowPunct/>
        <w:topLinePunct w:val="0"/>
        <w:autoSpaceDE/>
        <w:autoSpaceDN/>
        <w:bidi w:val="0"/>
        <w:adjustRightInd w:val="0"/>
        <w:snapToGrid w:val="0"/>
        <w:spacing w:beforeLines="50" w:afterLines="50" w:line="240" w:lineRule="auto"/>
        <w:jc w:val="left"/>
        <w:textAlignment w:val="auto"/>
        <w:outlineLvl w:val="1"/>
        <w:rPr>
          <w:rFonts w:hint="eastAsia" w:ascii="黑体" w:hAnsi="Times New Roman" w:eastAsia="黑体" w:cs="Times New Roman"/>
          <w:sz w:val="21"/>
        </w:rPr>
      </w:pPr>
      <w:bookmarkStart w:id="216" w:name="_Toc28226"/>
      <w:r>
        <w:rPr>
          <w:rFonts w:hint="eastAsia" w:ascii="黑体" w:hAnsi="Times New Roman" w:eastAsia="黑体" w:cs="Times New Roman"/>
          <w:sz w:val="21"/>
          <w:lang w:val="en-US" w:eastAsia="zh-CN"/>
        </w:rPr>
        <w:t>8.4</w:t>
      </w:r>
      <w:r>
        <w:rPr>
          <w:rFonts w:hint="eastAsia" w:ascii="黑体" w:hAnsi="Times New Roman" w:eastAsia="黑体" w:cs="Times New Roman"/>
          <w:sz w:val="21"/>
        </w:rPr>
        <w:t>　</w:t>
      </w:r>
      <w:r>
        <w:rPr>
          <w:rFonts w:hint="eastAsia" w:ascii="黑体" w:hAnsi="Times New Roman" w:eastAsia="黑体" w:cs="Times New Roman"/>
          <w:sz w:val="21"/>
          <w:lang w:val="en-US" w:eastAsia="zh-CN"/>
        </w:rPr>
        <w:t>物料</w:t>
      </w:r>
      <w:r>
        <w:rPr>
          <w:rFonts w:hint="eastAsia" w:ascii="黑体" w:hAnsi="Times New Roman" w:eastAsia="黑体" w:cs="Times New Roman"/>
          <w:sz w:val="21"/>
        </w:rPr>
        <w:t>管理</w:t>
      </w:r>
      <w:bookmarkEnd w:id="216"/>
    </w:p>
    <w:p w14:paraId="138569D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left="0" w:leftChars="0"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实验室具备全部物料验收和质量控制流程，确保所有物料在入库前均经过严格的质量检查，记录检查结果，实现物料管理的信息化和自动化。</w:t>
      </w:r>
    </w:p>
    <w:p w14:paraId="2AE3E13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left="0" w:leftChars="0"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建立全部物料电子档案库，记录关键试剂耗材的名称、规格、批次、有效期、采购日期、供应商信息等信息。</w:t>
      </w:r>
    </w:p>
    <w:p w14:paraId="2D061C30">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left="0" w:leftChars="0"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支持全部物料的电子化采购流程，包括在线下单、审批、收货和付款等环节。</w:t>
      </w:r>
    </w:p>
    <w:p w14:paraId="7A797636">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left="0" w:leftChars="0"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具备全部物料库存动态管理功能，包括出入库管理、库存预警、过期物料的识别与处理等。具备全部物料追溯功能，能够追踪物料的来源、使用历史和库存状态。</w:t>
      </w:r>
    </w:p>
    <w:p w14:paraId="25588AC3">
      <w:pPr>
        <w:widowControl/>
        <w:tabs>
          <w:tab w:val="left" w:pos="315"/>
        </w:tabs>
        <w:adjustRightInd w:val="0"/>
        <w:snapToGrid w:val="0"/>
        <w:spacing w:beforeLines="50" w:afterLines="50" w:line="240" w:lineRule="auto"/>
        <w:jc w:val="left"/>
        <w:outlineLvl w:val="1"/>
        <w:rPr>
          <w:rFonts w:hint="eastAsia" w:ascii="黑体" w:hAnsi="Times New Roman" w:eastAsia="黑体" w:cs="Times New Roman"/>
          <w:sz w:val="21"/>
        </w:rPr>
      </w:pPr>
      <w:bookmarkStart w:id="217" w:name="_Toc4819"/>
      <w:r>
        <w:rPr>
          <w:rFonts w:hint="eastAsia" w:ascii="黑体" w:hAnsi="Times New Roman" w:eastAsia="黑体" w:cs="Times New Roman"/>
          <w:spacing w:val="0"/>
          <w:kern w:val="2"/>
          <w:sz w:val="21"/>
          <w:szCs w:val="24"/>
          <w:lang w:val="en-US" w:eastAsia="zh-CN" w:bidi="ar"/>
        </w:rPr>
        <w:t>8</w:t>
      </w:r>
      <w:r>
        <w:rPr>
          <w:rFonts w:hint="eastAsia" w:ascii="黑体" w:hAnsi="Times New Roman" w:eastAsia="黑体" w:cs="Times New Roman"/>
          <w:sz w:val="21"/>
        </w:rPr>
        <w:t>.</w:t>
      </w:r>
      <w:r>
        <w:rPr>
          <w:rFonts w:hint="eastAsia" w:ascii="黑体" w:hAnsi="Times New Roman" w:eastAsia="黑体" w:cs="Times New Roman"/>
          <w:sz w:val="21"/>
          <w:lang w:val="en-US" w:eastAsia="zh-CN"/>
        </w:rPr>
        <w:t>5</w:t>
      </w:r>
      <w:r>
        <w:rPr>
          <w:rFonts w:hint="eastAsia" w:ascii="黑体" w:hAnsi="Times New Roman" w:eastAsia="黑体" w:cs="Times New Roman"/>
          <w:sz w:val="21"/>
        </w:rPr>
        <w:t>　资质能力管理</w:t>
      </w:r>
      <w:bookmarkEnd w:id="217"/>
    </w:p>
    <w:p w14:paraId="6E3B957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0"/>
          <w:szCs w:val="20"/>
          <w:lang w:val="en-US" w:eastAsia="zh-CN" w:bidi="ar"/>
        </w:rPr>
      </w:pPr>
      <w:r>
        <w:rPr>
          <w:rFonts w:hint="eastAsia" w:ascii="Times New Roman" w:hAnsi="Times New Roman" w:eastAsia="宋体" w:cs="Times New Roman"/>
          <w:spacing w:val="-3"/>
          <w:kern w:val="2"/>
          <w:sz w:val="21"/>
          <w:szCs w:val="21"/>
          <w:lang w:val="en-US" w:eastAsia="zh-CN" w:bidi="ar"/>
        </w:rPr>
        <w:t>具备CMA和CNAS认证资质并关联系统，确保实验室的资质证书有效且符合相关要求，定期进行线上线下资质复审和评估。</w:t>
      </w:r>
    </w:p>
    <w:p w14:paraId="02FCE71B">
      <w:pPr>
        <w:keepNext w:val="0"/>
        <w:keepLines w:val="0"/>
        <w:pageBreakBefore w:val="0"/>
        <w:widowControl/>
        <w:tabs>
          <w:tab w:val="left" w:pos="315"/>
        </w:tabs>
        <w:kinsoku/>
        <w:wordWrap/>
        <w:overflowPunct/>
        <w:topLinePunct w:val="0"/>
        <w:autoSpaceDE/>
        <w:autoSpaceDN/>
        <w:bidi w:val="0"/>
        <w:adjustRightInd w:val="0"/>
        <w:snapToGrid w:val="0"/>
        <w:spacing w:beforeLines="50" w:afterLines="50" w:line="240" w:lineRule="auto"/>
        <w:jc w:val="left"/>
        <w:textAlignment w:val="auto"/>
        <w:outlineLvl w:val="1"/>
        <w:rPr>
          <w:rFonts w:hint="eastAsia" w:ascii="黑体" w:hAnsi="Times New Roman" w:eastAsia="黑体" w:cs="Times New Roman"/>
          <w:sz w:val="21"/>
          <w:lang w:bidi="ar"/>
        </w:rPr>
      </w:pPr>
      <w:bookmarkStart w:id="218" w:name="_Toc9621"/>
      <w:r>
        <w:rPr>
          <w:rFonts w:hint="eastAsia" w:ascii="黑体" w:hAnsi="Times New Roman" w:eastAsia="黑体" w:cs="Times New Roman"/>
          <w:sz w:val="21"/>
          <w:lang w:val="en-US" w:eastAsia="zh-CN" w:bidi="ar"/>
        </w:rPr>
        <w:t>8.6</w:t>
      </w:r>
      <w:r>
        <w:rPr>
          <w:rFonts w:hint="eastAsia" w:ascii="黑体" w:hAnsi="Times New Roman" w:eastAsia="黑体" w:cs="Times New Roman"/>
          <w:sz w:val="21"/>
          <w:lang w:bidi="ar"/>
        </w:rPr>
        <w:t>　环境管理</w:t>
      </w:r>
      <w:bookmarkEnd w:id="218"/>
    </w:p>
    <w:p w14:paraId="7F64BC4B">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eastAsia"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记录详细环境监控数据，包括但不限于气压、照度、噪声、悬浮粒子、沉降菌或浮游菌、换气次数等内容。</w:t>
      </w:r>
    </w:p>
    <w:p w14:paraId="25BEB84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240" w:lineRule="auto"/>
        <w:ind w:firstLine="414" w:firstLineChars="200"/>
        <w:textAlignment w:val="baseline"/>
        <w:outlineLvl w:val="9"/>
        <w:rPr>
          <w:rFonts w:hint="default" w:ascii="Times New Roman" w:hAnsi="Times New Roman" w:eastAsia="宋体" w:cs="Times New Roman"/>
          <w:spacing w:val="-3"/>
          <w:kern w:val="2"/>
          <w:sz w:val="21"/>
          <w:szCs w:val="21"/>
          <w:lang w:val="en-US" w:eastAsia="zh-CN" w:bidi="ar"/>
        </w:rPr>
      </w:pPr>
      <w:r>
        <w:rPr>
          <w:rFonts w:hint="eastAsia" w:ascii="Times New Roman" w:hAnsi="Times New Roman" w:eastAsia="宋体" w:cs="Times New Roman"/>
          <w:spacing w:val="-3"/>
          <w:kern w:val="2"/>
          <w:sz w:val="21"/>
          <w:szCs w:val="21"/>
          <w:lang w:val="en-US" w:eastAsia="zh-CN" w:bidi="ar"/>
        </w:rPr>
        <w:t>根据实验室工作的要求和环境监测标准，对环境数据实时监控，进行智能调控与能效管理。</w:t>
      </w:r>
    </w:p>
    <w:p w14:paraId="7C6C89DD">
      <w:pPr>
        <w:keepNext w:val="0"/>
        <w:keepLines w:val="0"/>
        <w:pageBreakBefore w:val="0"/>
        <w:widowControl/>
        <w:tabs>
          <w:tab w:val="left" w:pos="315"/>
        </w:tabs>
        <w:kinsoku/>
        <w:wordWrap/>
        <w:overflowPunct/>
        <w:topLinePunct w:val="0"/>
        <w:autoSpaceDE/>
        <w:autoSpaceDN/>
        <w:bidi w:val="0"/>
        <w:adjustRightInd w:val="0"/>
        <w:snapToGrid w:val="0"/>
        <w:spacing w:beforeLines="50" w:afterLines="50" w:line="240" w:lineRule="auto"/>
        <w:jc w:val="left"/>
        <w:textAlignment w:val="auto"/>
        <w:outlineLvl w:val="1"/>
        <w:rPr>
          <w:rFonts w:hint="eastAsia" w:ascii="黑体" w:hAnsi="Times New Roman" w:eastAsia="黑体" w:cs="Times New Roman"/>
          <w:sz w:val="21"/>
          <w:lang w:bidi="ar"/>
        </w:rPr>
      </w:pPr>
      <w:bookmarkStart w:id="219" w:name="_Toc14045"/>
      <w:r>
        <w:rPr>
          <w:rFonts w:hint="eastAsia" w:ascii="黑体" w:hAnsi="Times New Roman" w:eastAsia="黑体" w:cs="Times New Roman"/>
          <w:sz w:val="21"/>
          <w:lang w:val="en-US" w:eastAsia="zh-CN" w:bidi="ar"/>
        </w:rPr>
        <w:t>8.7</w:t>
      </w:r>
      <w:r>
        <w:rPr>
          <w:rFonts w:hint="eastAsia" w:ascii="黑体" w:hAnsi="Times New Roman" w:eastAsia="黑体" w:cs="Times New Roman"/>
          <w:sz w:val="21"/>
          <w:lang w:bidi="ar"/>
        </w:rPr>
        <w:t>　</w:t>
      </w:r>
      <w:r>
        <w:rPr>
          <w:rFonts w:hint="eastAsia" w:ascii="黑体" w:hAnsi="Times New Roman" w:eastAsia="黑体" w:cs="Times New Roman"/>
          <w:sz w:val="21"/>
          <w:lang w:val="en-US" w:eastAsia="zh-CN" w:bidi="ar"/>
        </w:rPr>
        <w:t>其他</w:t>
      </w:r>
      <w:r>
        <w:rPr>
          <w:rFonts w:hint="eastAsia" w:ascii="黑体" w:hAnsi="Times New Roman" w:eastAsia="黑体" w:cs="Times New Roman"/>
          <w:sz w:val="21"/>
          <w:lang w:bidi="ar"/>
        </w:rPr>
        <w:t>管理</w:t>
      </w:r>
      <w:bookmarkEnd w:id="219"/>
    </w:p>
    <w:p w14:paraId="6E7E7EBB">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Style w:val="25"/>
          <w:rFonts w:hint="eastAsia" w:hAnsi="宋体" w:cs="宋体"/>
          <w:szCs w:val="21"/>
          <w:lang w:val="en-US" w:eastAsia="zh-CN"/>
        </w:rPr>
      </w:pPr>
      <w:r>
        <w:rPr>
          <w:rStyle w:val="25"/>
          <w:rFonts w:hint="eastAsia" w:hAnsi="宋体" w:cs="宋体"/>
          <w:szCs w:val="21"/>
          <w:lang w:val="en-US" w:eastAsia="zh-CN"/>
        </w:rPr>
        <w:t>系统具备质量风险评估功能，根据历史数据和当前质量状况，预测潜在的质量风险，并提前发出预警。</w:t>
      </w:r>
    </w:p>
    <w:p w14:paraId="373C939C">
      <w:pPr>
        <w:pStyle w:val="42"/>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Style w:val="25"/>
          <w:rFonts w:hint="eastAsia" w:ascii="Times New Roman" w:hAnsi="宋体" w:eastAsia="宋体" w:cs="宋体"/>
          <w:kern w:val="0"/>
          <w:sz w:val="21"/>
          <w:szCs w:val="21"/>
          <w:lang w:val="en-US" w:eastAsia="zh-CN"/>
        </w:rPr>
      </w:pPr>
      <w:r>
        <w:rPr>
          <w:rStyle w:val="25"/>
          <w:rFonts w:hint="eastAsia" w:hAnsi="宋体" w:cs="宋体"/>
          <w:szCs w:val="21"/>
          <w:lang w:val="en-US" w:eastAsia="zh-CN"/>
        </w:rPr>
        <w:t>自动生成风险评估报告，评估风险的严重性和发生概率，确定风险等级，帮助实验室管理人员了解风险状况。</w:t>
      </w:r>
    </w:p>
    <w:p w14:paraId="746F4A2E">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自动收集和分析质量控制数据，通过控制图表、统计分析等方法生成质量报告。</w:t>
      </w:r>
    </w:p>
    <w:p w14:paraId="5A0AA984">
      <w:pPr>
        <w:pStyle w:val="42"/>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Style w:val="25"/>
          <w:rFonts w:hint="eastAsia" w:hAnsi="宋体" w:cs="宋体"/>
          <w:szCs w:val="21"/>
          <w:lang w:val="en-US" w:eastAsia="zh-CN"/>
        </w:rPr>
        <w:t>自动生成管理评审计划，定期进行实验室质量管理评审，确保质量管理体系的持续改进。</w:t>
      </w:r>
    </w:p>
    <w:p w14:paraId="670C0587">
      <w:pPr>
        <w:keepNext w:val="0"/>
        <w:keepLines w:val="0"/>
        <w:pageBreakBefore w:val="0"/>
        <w:widowControl/>
        <w:kinsoku/>
        <w:wordWrap/>
        <w:overflowPunct/>
        <w:topLinePunct w:val="0"/>
        <w:autoSpaceDE w:val="0"/>
        <w:autoSpaceDN w:val="0"/>
        <w:bidi w:val="0"/>
        <w:adjustRightInd w:val="0"/>
        <w:snapToGrid w:val="0"/>
        <w:spacing w:before="0" w:after="0" w:line="240" w:lineRule="auto"/>
        <w:ind w:firstLine="426" w:firstLineChars="200"/>
        <w:textAlignment w:val="auto"/>
        <w:outlineLvl w:val="9"/>
        <w:rPr>
          <w:rFonts w:hint="default" w:ascii="宋体" w:hAnsi="宋体" w:eastAsia="宋体" w:cs="宋体"/>
          <w:sz w:val="21"/>
          <w:szCs w:val="21"/>
          <w:lang w:val="en-US" w:eastAsia="zh-CN"/>
        </w:rPr>
      </w:pPr>
      <w:r>
        <w:rPr>
          <w:rStyle w:val="25"/>
          <w:rFonts w:hint="default" w:ascii="宋体" w:hAnsi="宋体" w:eastAsia="宋体" w:cs="宋体"/>
          <w:sz w:val="21"/>
          <w:szCs w:val="21"/>
          <w:lang w:val="en-US" w:eastAsia="zh-CN"/>
        </w:rPr>
        <w:t>根据实验室的历史数据和当前需求，</w:t>
      </w:r>
      <w:r>
        <w:rPr>
          <w:rFonts w:hint="default" w:ascii="宋体" w:hAnsi="宋体" w:eastAsia="宋体" w:cs="宋体"/>
          <w:sz w:val="21"/>
          <w:szCs w:val="21"/>
          <w:lang w:val="en-US" w:eastAsia="zh-CN"/>
        </w:rPr>
        <w:t>自动生成质量控制计划，包括定期设备校准、方法验证、人员比对等。</w:t>
      </w:r>
    </w:p>
    <w:p w14:paraId="084950D5">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Style w:val="25"/>
          <w:rFonts w:hint="eastAsia" w:hAnsi="宋体" w:cs="宋体"/>
          <w:szCs w:val="21"/>
          <w:lang w:val="en-US" w:eastAsia="zh-CN"/>
        </w:rPr>
      </w:pPr>
      <w:r>
        <w:rPr>
          <w:rStyle w:val="25"/>
          <w:rFonts w:hint="eastAsia" w:hAnsi="宋体" w:cs="宋体"/>
          <w:szCs w:val="21"/>
          <w:lang w:val="en-US" w:eastAsia="zh-CN"/>
        </w:rPr>
        <w:t>自动汇总收集和分析内部审核报告、客户反馈、质量目标完成情况等信息</w:t>
      </w:r>
      <w:r>
        <w:rPr>
          <w:rStyle w:val="25"/>
          <w:rFonts w:hint="eastAsia" w:ascii="Times New Roman" w:hAnsi="宋体" w:eastAsia="宋体" w:cs="宋体"/>
          <w:kern w:val="0"/>
          <w:sz w:val="21"/>
          <w:szCs w:val="21"/>
          <w:lang w:val="en-US" w:eastAsia="zh-CN"/>
        </w:rPr>
        <w:t>，自动生成改进计划。</w:t>
      </w:r>
    </w:p>
    <w:p w14:paraId="417FFEC0">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Style w:val="25"/>
          <w:rFonts w:hint="eastAsia" w:ascii="黑体" w:eastAsia="黑体"/>
        </w:rPr>
      </w:pPr>
      <w:r>
        <w:rPr>
          <w:rFonts w:hint="eastAsia" w:ascii="宋体" w:hAnsi="宋体" w:eastAsia="宋体" w:cs="宋体"/>
          <w:sz w:val="21"/>
          <w:lang w:val="en-US" w:eastAsia="zh-CN"/>
        </w:rPr>
        <w:t>食</w:t>
      </w:r>
      <w:r>
        <w:rPr>
          <w:rFonts w:hint="default" w:ascii="宋体" w:hAnsi="宋体" w:eastAsia="宋体" w:cs="宋体"/>
          <w:sz w:val="21"/>
          <w:szCs w:val="21"/>
          <w:lang w:val="en-US" w:eastAsia="zh-CN"/>
        </w:rPr>
        <w:t>品实验室通过可视化大屏、数据分析系统等，</w:t>
      </w:r>
      <w:r>
        <w:rPr>
          <w:rFonts w:ascii="宋体" w:hAnsi="宋体" w:eastAsia="宋体" w:cs="宋体"/>
          <w:sz w:val="21"/>
          <w:szCs w:val="21"/>
        </w:rPr>
        <w:t>整合实验室的各项运营数据，生成可视化报告，帮助管理者实时监控实验室的运营状况（如设备利用率、工作负载等）。</w:t>
      </w:r>
    </w:p>
    <w:p w14:paraId="4B373B66">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Fonts w:hint="eastAsia" w:ascii="黑体" w:eastAsia="黑体"/>
        </w:rPr>
      </w:pPr>
      <w:r>
        <w:rPr>
          <w:rStyle w:val="25"/>
          <w:rFonts w:hint="eastAsia" w:ascii="宋体" w:hAnsi="宋体" w:eastAsia="宋体" w:cs="宋体"/>
          <w:szCs w:val="21"/>
        </w:rPr>
        <w:t>客户</w:t>
      </w:r>
      <w:r>
        <w:rPr>
          <w:rFonts w:hint="eastAsia" w:ascii="宋体" w:hAnsi="宋体" w:eastAsia="宋体" w:cs="宋体"/>
          <w:szCs w:val="21"/>
        </w:rPr>
        <w:t>数字化</w:t>
      </w:r>
      <w:r>
        <w:rPr>
          <w:rStyle w:val="25"/>
          <w:rFonts w:hint="eastAsia" w:ascii="宋体" w:hAnsi="宋体" w:eastAsia="宋体" w:cs="宋体"/>
          <w:szCs w:val="21"/>
        </w:rPr>
        <w:t>管理</w:t>
      </w:r>
      <w:r>
        <w:rPr>
          <w:rFonts w:hint="eastAsia" w:ascii="宋体" w:hAnsi="宋体" w:eastAsia="宋体" w:cs="宋体"/>
          <w:szCs w:val="21"/>
        </w:rPr>
        <w:t>涵盖客户信息的管理，包括</w:t>
      </w:r>
      <w:r>
        <w:rPr>
          <w:rFonts w:hint="eastAsia" w:ascii="Times New Roman" w:hAnsi="Times New Roman" w:eastAsia="宋体" w:cs="Times New Roman"/>
          <w:spacing w:val="-3"/>
          <w:kern w:val="2"/>
          <w:sz w:val="21"/>
          <w:szCs w:val="21"/>
          <w:lang w:val="en-US" w:eastAsia="zh-CN" w:bidi="ar"/>
        </w:rPr>
        <w:t>但不限于</w:t>
      </w:r>
      <w:r>
        <w:rPr>
          <w:rFonts w:hint="eastAsia" w:ascii="宋体" w:hAnsi="宋体" w:eastAsia="宋体" w:cs="宋体"/>
          <w:szCs w:val="21"/>
        </w:rPr>
        <w:t>客户档案、需求、订单、反馈等。</w:t>
      </w:r>
    </w:p>
    <w:p w14:paraId="57BBAC75">
      <w:pPr>
        <w:pStyle w:val="42"/>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firstLine="426" w:firstLineChars="200"/>
        <w:textAlignment w:val="auto"/>
        <w:outlineLvl w:val="9"/>
        <w:rPr>
          <w:rFonts w:hint="eastAsia" w:ascii="宋体" w:hAnsi="宋体" w:eastAsia="宋体" w:cs="宋体"/>
          <w:szCs w:val="21"/>
        </w:rPr>
      </w:pPr>
      <w:r>
        <w:rPr>
          <w:rStyle w:val="25"/>
          <w:rFonts w:hint="eastAsia" w:ascii="宋体" w:hAnsi="宋体" w:eastAsia="宋体" w:cs="宋体"/>
          <w:szCs w:val="21"/>
        </w:rPr>
        <w:t>财务与成本管理</w:t>
      </w:r>
      <w:r>
        <w:rPr>
          <w:rFonts w:hint="eastAsia" w:ascii="宋体" w:hAnsi="宋体" w:eastAsia="宋体" w:cs="宋体"/>
          <w:szCs w:val="21"/>
        </w:rPr>
        <w:t>实时监控财务状况</w:t>
      </w:r>
      <w:r>
        <w:rPr>
          <w:rFonts w:hint="eastAsia" w:ascii="宋体" w:hAnsi="宋体" w:eastAsia="宋体" w:cs="宋体"/>
          <w:szCs w:val="21"/>
          <w:lang w:eastAsia="zh-CN"/>
        </w:rPr>
        <w:t>，</w:t>
      </w:r>
      <w:r>
        <w:rPr>
          <w:rFonts w:hint="eastAsia" w:ascii="宋体" w:hAnsi="宋体" w:eastAsia="宋体" w:cs="宋体"/>
          <w:szCs w:val="21"/>
        </w:rPr>
        <w:t>支持</w:t>
      </w:r>
      <w:r>
        <w:rPr>
          <w:rFonts w:hint="eastAsia" w:ascii="宋体" w:hAnsi="宋体" w:eastAsia="宋体" w:cs="宋体"/>
          <w:szCs w:val="21"/>
          <w:lang w:val="en-US" w:eastAsia="zh-CN"/>
        </w:rPr>
        <w:t>食品</w:t>
      </w:r>
      <w:r>
        <w:rPr>
          <w:rFonts w:hint="eastAsia" w:ascii="宋体" w:hAnsi="宋体" w:eastAsia="宋体" w:cs="宋体"/>
          <w:szCs w:val="21"/>
        </w:rPr>
        <w:t>实验室的预算、支出和成本控制。</w:t>
      </w:r>
      <w:bookmarkEnd w:id="196"/>
      <w:bookmarkEnd w:id="197"/>
      <w:bookmarkEnd w:id="198"/>
    </w:p>
    <w:p w14:paraId="35FD5DC0">
      <w:pPr>
        <w:framePr w:hSpace="181" w:vSpace="181" w:wrap="around" w:vAnchor="text" w:hAnchor="margin" w:xAlign="center" w:y="267"/>
        <w:widowControl w:val="0"/>
        <w:ind w:firstLine="0" w:firstLineChars="0"/>
        <w:jc w:val="both"/>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w:t>_________________________________</w:t>
      </w:r>
    </w:p>
    <w:p w14:paraId="3895D521">
      <w:pPr>
        <w:pStyle w:val="42"/>
        <w:keepNext w:val="0"/>
        <w:keepLines w:val="0"/>
        <w:widowControl/>
        <w:suppressLineNumbers w:val="0"/>
        <w:autoSpaceDE w:val="0"/>
        <w:autoSpaceDN w:val="0"/>
        <w:adjustRightInd w:val="0"/>
        <w:spacing w:beforeLines="0" w:after="157"/>
        <w:ind w:firstLine="0" w:firstLineChars="0"/>
        <w:outlineLvl w:val="9"/>
        <w:rPr>
          <w:rFonts w:hint="eastAsia" w:ascii="宋体" w:hAnsi="宋体" w:eastAsia="宋体" w:cs="宋体"/>
          <w:szCs w:val="21"/>
        </w:rPr>
      </w:pPr>
    </w:p>
    <w:p w14:paraId="7F61E50A">
      <w:pPr>
        <w:pStyle w:val="42"/>
        <w:keepNext w:val="0"/>
        <w:keepLines w:val="0"/>
        <w:widowControl/>
        <w:suppressLineNumbers w:val="0"/>
        <w:autoSpaceDE w:val="0"/>
        <w:autoSpaceDN w:val="0"/>
        <w:adjustRightInd w:val="0"/>
        <w:spacing w:beforeLines="0" w:after="157"/>
        <w:ind w:firstLine="0" w:firstLineChars="0"/>
        <w:jc w:val="both"/>
        <w:outlineLvl w:val="9"/>
        <w:rPr>
          <w:rFonts w:hint="eastAsia" w:hAnsi="宋体" w:cs="宋体"/>
          <w:szCs w:val="21"/>
          <w:lang w:val="en-US" w:eastAsia="zh-CN"/>
        </w:rPr>
        <w:sectPr>
          <w:headerReference r:id="rId19" w:type="first"/>
          <w:footerReference r:id="rId22" w:type="first"/>
          <w:headerReference r:id="rId17" w:type="default"/>
          <w:footerReference r:id="rId20" w:type="default"/>
          <w:headerReference r:id="rId18" w:type="even"/>
          <w:footerReference r:id="rId21" w:type="even"/>
          <w:pgSz w:w="11905" w:h="16838"/>
          <w:pgMar w:top="1417" w:right="1134" w:bottom="1417" w:left="1417" w:header="1417" w:footer="1134" w:gutter="0"/>
          <w:pgBorders>
            <w:top w:val="none" w:sz="0" w:space="0"/>
            <w:left w:val="none" w:sz="0" w:space="0"/>
            <w:bottom w:val="none" w:sz="0" w:space="0"/>
            <w:right w:val="none" w:sz="0" w:space="0"/>
          </w:pgBorders>
          <w:pgNumType w:fmt="decimal" w:start="1"/>
          <w:cols w:space="0" w:num="1"/>
          <w:titlePg/>
          <w:docGrid w:type="linesAndChars" w:linePitch="389" w:charSpace="707"/>
        </w:sectPr>
      </w:pPr>
    </w:p>
    <w:p w14:paraId="360BB398">
      <w:pPr>
        <w:pStyle w:val="42"/>
        <w:keepNext w:val="0"/>
        <w:keepLines w:val="0"/>
        <w:pageBreakBefore w:val="0"/>
        <w:widowControl/>
        <w:suppressLineNumbers w:val="0"/>
        <w:kinsoku/>
        <w:wordWrap/>
        <w:overflowPunct/>
        <w:topLinePunct w:val="0"/>
        <w:autoSpaceDE/>
        <w:autoSpaceDN/>
        <w:bidi w:val="0"/>
        <w:adjustRightInd w:val="0"/>
        <w:snapToGrid w:val="0"/>
        <w:spacing w:beforeLines="0" w:after="0"/>
        <w:ind w:firstLine="0" w:firstLineChars="0"/>
        <w:jc w:val="center"/>
        <w:textAlignment w:val="auto"/>
        <w:outlineLvl w:val="0"/>
        <w:rPr>
          <w:rFonts w:hint="eastAsia" w:hAnsi="宋体" w:cs="宋体"/>
          <w:szCs w:val="21"/>
          <w:lang w:val="en-US" w:eastAsia="zh-CN"/>
        </w:rPr>
      </w:pPr>
      <w:bookmarkStart w:id="220" w:name="_Toc1419"/>
      <w:bookmarkStart w:id="221" w:name="_Toc28019"/>
      <w:r>
        <w:rPr>
          <w:rFonts w:hint="eastAsia" w:ascii="黑体" w:hAnsi="黑体" w:eastAsia="黑体" w:cs="黑体"/>
          <w:szCs w:val="21"/>
          <w:lang w:val="en-US" w:eastAsia="zh-CN"/>
        </w:rPr>
        <w:t>附 录 A</w:t>
      </w:r>
      <w:r>
        <w:rPr>
          <w:rFonts w:hint="eastAsia" w:ascii="黑体" w:hAnsi="黑体" w:eastAsia="黑体" w:cs="黑体"/>
          <w:szCs w:val="21"/>
          <w:lang w:val="en-US" w:eastAsia="zh-CN"/>
        </w:rPr>
        <w:br w:type="textWrapping"/>
      </w:r>
      <w:r>
        <w:rPr>
          <w:rFonts w:hint="eastAsia" w:ascii="黑体" w:hAnsi="黑体" w:eastAsia="黑体" w:cs="黑体"/>
          <w:szCs w:val="21"/>
          <w:lang w:val="en-US" w:eastAsia="zh-CN"/>
        </w:rPr>
        <w:t>（资料性）</w:t>
      </w:r>
      <w:r>
        <w:rPr>
          <w:rFonts w:hint="eastAsia" w:ascii="黑体" w:hAnsi="黑体" w:eastAsia="黑体" w:cs="黑体"/>
          <w:szCs w:val="21"/>
          <w:lang w:val="en-US" w:eastAsia="zh-CN"/>
        </w:rPr>
        <w:br w:type="textWrapping"/>
      </w:r>
      <w:r>
        <w:rPr>
          <w:rFonts w:hint="eastAsia" w:ascii="黑体" w:hAnsi="黑体" w:eastAsia="黑体" w:cs="黑体"/>
          <w:szCs w:val="21"/>
          <w:lang w:val="en-US" w:eastAsia="zh-CN"/>
        </w:rPr>
        <w:t>食品实验室数字化管理架构</w:t>
      </w:r>
      <w:bookmarkEnd w:id="220"/>
      <w:bookmarkEnd w:id="221"/>
    </w:p>
    <w:p w14:paraId="3E8E71FE">
      <w:pPr>
        <w:pStyle w:val="42"/>
        <w:keepNext w:val="0"/>
        <w:keepLines w:val="0"/>
        <w:widowControl/>
        <w:suppressLineNumbers w:val="0"/>
        <w:autoSpaceDE/>
        <w:autoSpaceDN/>
        <w:adjustRightInd w:val="0"/>
        <w:snapToGrid w:val="0"/>
        <w:spacing w:beforeLines="0" w:after="0"/>
        <w:ind w:firstLine="0" w:firstLineChars="0"/>
        <w:jc w:val="center"/>
        <w:outlineLvl w:val="9"/>
        <w:rPr>
          <w:rFonts w:hint="eastAsia" w:hAnsi="宋体" w:cs="宋体"/>
          <w:szCs w:val="21"/>
          <w:lang w:val="en-US" w:eastAsia="zh-CN"/>
        </w:rPr>
      </w:pPr>
      <w:r>
        <w:rPr>
          <w:rFonts w:hint="eastAsia" w:hAnsi="宋体" w:cs="宋体"/>
          <w:szCs w:val="21"/>
          <w:lang w:val="en-US" w:eastAsia="zh-CN"/>
        </w:rPr>
        <w:drawing>
          <wp:inline distT="0" distB="0" distL="114300" distR="114300">
            <wp:extent cx="5937885" cy="6642100"/>
            <wp:effectExtent l="0" t="0" r="5715" b="6350"/>
            <wp:docPr id="6" name="图片 6" descr="数据资产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数据资产图"/>
                    <pic:cNvPicPr>
                      <a:picLocks noChangeAspect="1"/>
                    </pic:cNvPicPr>
                  </pic:nvPicPr>
                  <pic:blipFill>
                    <a:blip r:embed="rId24"/>
                    <a:stretch>
                      <a:fillRect/>
                    </a:stretch>
                  </pic:blipFill>
                  <pic:spPr>
                    <a:xfrm>
                      <a:off x="0" y="0"/>
                      <a:ext cx="5937885" cy="6642100"/>
                    </a:xfrm>
                    <a:prstGeom prst="rect">
                      <a:avLst/>
                    </a:prstGeom>
                  </pic:spPr>
                </pic:pic>
              </a:graphicData>
            </a:graphic>
          </wp:inline>
        </w:drawing>
      </w:r>
    </w:p>
    <w:p w14:paraId="60F9CCD7">
      <w:pPr>
        <w:pStyle w:val="42"/>
        <w:keepNext w:val="0"/>
        <w:keepLines w:val="0"/>
        <w:widowControl/>
        <w:suppressLineNumbers w:val="0"/>
        <w:autoSpaceDE/>
        <w:autoSpaceDN/>
        <w:adjustRightInd w:val="0"/>
        <w:snapToGrid w:val="0"/>
        <w:spacing w:before="196" w:beforeLines="50" w:after="196" w:afterLines="50"/>
        <w:ind w:firstLine="0" w:firstLineChars="0"/>
        <w:jc w:val="center"/>
        <w:outlineLvl w:val="9"/>
        <w:rPr>
          <w:rFonts w:hint="eastAsia" w:ascii="黑体" w:hAnsi="黑体" w:eastAsia="黑体" w:cs="黑体"/>
          <w:szCs w:val="21"/>
          <w:lang w:val="en-US" w:eastAsia="zh-CN"/>
        </w:rPr>
      </w:pPr>
      <w:r>
        <w:rPr>
          <w:rFonts w:hint="eastAsia" w:ascii="黑体" w:hAnsi="黑体" w:eastAsia="黑体" w:cs="黑体"/>
          <w:szCs w:val="21"/>
          <w:lang w:val="en-US" w:eastAsia="zh-CN"/>
        </w:rPr>
        <w:t>图A.1 食品实验室数字化管理架构图</w:t>
      </w:r>
    </w:p>
    <w:p w14:paraId="4561708C">
      <w:pPr>
        <w:keepNext w:val="0"/>
        <w:keepLines w:val="0"/>
        <w:widowControl/>
        <w:suppressLineNumbers w:val="0"/>
        <w:autoSpaceDE w:val="0"/>
        <w:autoSpaceDN w:val="0"/>
        <w:adjustRightInd w:val="0"/>
        <w:spacing w:beforeLines="0" w:after="157"/>
        <w:ind w:firstLineChars="1800"/>
        <w:jc w:val="left"/>
        <w:outlineLvl w:val="9"/>
        <w:rPr>
          <w:rFonts w:hint="eastAsia" w:ascii="黑体" w:hAnsi="黑体" w:eastAsia="黑体" w:cs="黑体"/>
          <w:szCs w:val="21"/>
          <w:lang w:val="en-US" w:eastAsia="zh-CN"/>
        </w:rPr>
      </w:pPr>
      <w:r>
        <w:rPr>
          <w:rFonts w:hint="eastAsia" w:ascii="黑体" w:hAnsi="黑体" w:eastAsia="黑体" w:cs="黑体"/>
          <w:szCs w:val="21"/>
          <w:lang w:val="en-US" w:eastAsia="zh-CN"/>
        </w:rPr>
        <w:br w:type="page"/>
      </w:r>
    </w:p>
    <w:p w14:paraId="68EE9EAE">
      <w:pPr>
        <w:pStyle w:val="42"/>
        <w:keepNext w:val="0"/>
        <w:keepLines w:val="0"/>
        <w:pageBreakBefore w:val="0"/>
        <w:widowControl/>
        <w:suppressLineNumbers w:val="0"/>
        <w:kinsoku/>
        <w:wordWrap/>
        <w:overflowPunct/>
        <w:topLinePunct w:val="0"/>
        <w:autoSpaceDE/>
        <w:autoSpaceDN/>
        <w:bidi w:val="0"/>
        <w:adjustRightInd w:val="0"/>
        <w:snapToGrid/>
        <w:spacing w:beforeLines="0" w:after="0"/>
        <w:ind w:firstLine="0" w:firstLineChars="0"/>
        <w:jc w:val="center"/>
        <w:textAlignment w:val="auto"/>
        <w:outlineLvl w:val="0"/>
        <w:rPr>
          <w:rFonts w:hint="eastAsia" w:ascii="黑体" w:hAnsi="黑体" w:eastAsia="黑体" w:cs="黑体"/>
          <w:szCs w:val="21"/>
          <w:lang w:val="en-US" w:eastAsia="zh-CN"/>
        </w:rPr>
      </w:pPr>
      <w:bookmarkStart w:id="222" w:name="_Toc13407"/>
      <w:bookmarkStart w:id="223" w:name="_Toc10767"/>
      <w:r>
        <w:rPr>
          <w:rFonts w:hint="eastAsia" w:ascii="黑体" w:hAnsi="黑体" w:eastAsia="黑体" w:cs="黑体"/>
          <w:szCs w:val="21"/>
          <w:lang w:val="en-US" w:eastAsia="zh-CN"/>
        </w:rPr>
        <w:t>附 录 B</w:t>
      </w:r>
      <w:r>
        <w:rPr>
          <w:rFonts w:hint="eastAsia" w:ascii="黑体" w:hAnsi="黑体" w:eastAsia="黑体" w:cs="黑体"/>
          <w:szCs w:val="21"/>
          <w:lang w:val="en-US" w:eastAsia="zh-CN"/>
        </w:rPr>
        <w:br w:type="textWrapping"/>
      </w:r>
      <w:r>
        <w:rPr>
          <w:rFonts w:hint="eastAsia" w:ascii="黑体" w:hAnsi="黑体" w:eastAsia="黑体" w:cs="黑体"/>
          <w:szCs w:val="21"/>
          <w:lang w:val="en-US" w:eastAsia="zh-CN"/>
        </w:rPr>
        <w:t>（资料性）</w:t>
      </w:r>
      <w:r>
        <w:rPr>
          <w:rFonts w:hint="eastAsia" w:ascii="黑体" w:hAnsi="黑体" w:eastAsia="黑体" w:cs="黑体"/>
          <w:szCs w:val="21"/>
          <w:lang w:val="en-US" w:eastAsia="zh-CN"/>
        </w:rPr>
        <w:br w:type="textWrapping"/>
      </w:r>
      <w:r>
        <w:rPr>
          <w:rFonts w:hint="eastAsia" w:ascii="黑体" w:hAnsi="黑体" w:eastAsia="黑体" w:cs="黑体"/>
          <w:szCs w:val="21"/>
          <w:lang w:val="en-US" w:eastAsia="zh-CN"/>
        </w:rPr>
        <w:t>食品实验室数字化管理分级表</w:t>
      </w:r>
      <w:bookmarkEnd w:id="222"/>
      <w:bookmarkEnd w:id="223"/>
    </w:p>
    <w:p w14:paraId="45306461">
      <w:pPr>
        <w:pStyle w:val="42"/>
        <w:keepNext w:val="0"/>
        <w:keepLines w:val="0"/>
        <w:widowControl/>
        <w:suppressLineNumbers w:val="0"/>
        <w:autoSpaceDE/>
        <w:autoSpaceDN/>
        <w:adjustRightInd w:val="0"/>
        <w:snapToGrid w:val="0"/>
        <w:spacing w:before="196" w:beforeLines="50" w:after="196" w:afterLines="50"/>
        <w:ind w:firstLine="0" w:firstLineChars="0"/>
        <w:jc w:val="center"/>
        <w:outlineLvl w:val="9"/>
        <w:rPr>
          <w:rFonts w:hint="eastAsia" w:ascii="黑体" w:hAnsi="黑体" w:eastAsia="黑体" w:cs="黑体"/>
          <w:szCs w:val="21"/>
          <w:lang w:val="en-US" w:eastAsia="zh-CN"/>
        </w:rPr>
      </w:pPr>
      <w:r>
        <w:rPr>
          <w:rFonts w:hint="eastAsia" w:ascii="黑体" w:hAnsi="黑体" w:eastAsia="黑体" w:cs="黑体"/>
          <w:szCs w:val="21"/>
          <w:lang w:val="en-US" w:eastAsia="zh-CN"/>
        </w:rPr>
        <w:t>表B.1 食品实验室数字化管理分级表</w:t>
      </w:r>
    </w:p>
    <w:tbl>
      <w:tblPr>
        <w:tblStyle w:val="24"/>
        <w:tblW w:w="5000"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108" w:type="dxa"/>
          <w:bottom w:w="0" w:type="dxa"/>
          <w:right w:w="108" w:type="dxa"/>
        </w:tblCellMar>
      </w:tblPr>
      <w:tblGrid>
        <w:gridCol w:w="655"/>
        <w:gridCol w:w="2971"/>
        <w:gridCol w:w="2971"/>
        <w:gridCol w:w="2973"/>
      </w:tblGrid>
      <w:tr w14:paraId="1E9362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567" w:hRule="atLeast"/>
          <w:tblHeader/>
          <w:jc w:val="center"/>
        </w:trPr>
        <w:tc>
          <w:tcPr>
            <w:tcW w:w="342" w:type="pct"/>
            <w:tcBorders>
              <w:bottom w:val="single" w:color="auto" w:sz="8" w:space="0"/>
              <w:right w:val="single" w:color="auto" w:sz="2" w:space="0"/>
            </w:tcBorders>
            <w:vAlign w:val="center"/>
          </w:tcPr>
          <w:p w14:paraId="5E831B72">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领域</w:t>
            </w:r>
          </w:p>
        </w:tc>
        <w:tc>
          <w:tcPr>
            <w:tcW w:w="1552" w:type="pct"/>
            <w:tcBorders>
              <w:left w:val="single" w:color="auto" w:sz="2" w:space="0"/>
              <w:bottom w:val="single" w:color="auto" w:sz="8" w:space="0"/>
              <w:right w:val="single" w:color="auto" w:sz="2" w:space="0"/>
            </w:tcBorders>
            <w:vAlign w:val="center"/>
          </w:tcPr>
          <w:p w14:paraId="41570B1B">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C</w:t>
            </w:r>
            <w:r>
              <w:rPr>
                <w:rStyle w:val="25"/>
                <w:rFonts w:hint="eastAsia" w:asciiTheme="minorEastAsia" w:hAnsiTheme="minorEastAsia" w:eastAsiaTheme="minorEastAsia" w:cstheme="minorEastAsia"/>
                <w:kern w:val="0"/>
                <w:sz w:val="18"/>
                <w:szCs w:val="18"/>
                <w:vertAlign w:val="baseline"/>
              </w:rPr>
              <w:t>级实验室</w:t>
            </w:r>
          </w:p>
        </w:tc>
        <w:tc>
          <w:tcPr>
            <w:tcW w:w="1552" w:type="pct"/>
            <w:tcBorders>
              <w:left w:val="single" w:color="auto" w:sz="2" w:space="0"/>
              <w:bottom w:val="single" w:color="auto" w:sz="8" w:space="0"/>
              <w:right w:val="single" w:color="auto" w:sz="2" w:space="0"/>
            </w:tcBorders>
            <w:vAlign w:val="center"/>
          </w:tcPr>
          <w:p w14:paraId="4340B07A">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B</w:t>
            </w:r>
            <w:r>
              <w:rPr>
                <w:rStyle w:val="25"/>
                <w:rFonts w:hint="eastAsia" w:asciiTheme="minorEastAsia" w:hAnsiTheme="minorEastAsia" w:eastAsiaTheme="minorEastAsia" w:cstheme="minorEastAsia"/>
                <w:kern w:val="0"/>
                <w:sz w:val="18"/>
                <w:szCs w:val="18"/>
                <w:vertAlign w:val="baseline"/>
              </w:rPr>
              <w:t>级实验室</w:t>
            </w:r>
          </w:p>
        </w:tc>
        <w:tc>
          <w:tcPr>
            <w:tcW w:w="1553" w:type="pct"/>
            <w:tcBorders>
              <w:left w:val="single" w:color="auto" w:sz="2" w:space="0"/>
              <w:bottom w:val="single" w:color="auto" w:sz="8" w:space="0"/>
            </w:tcBorders>
            <w:vAlign w:val="center"/>
          </w:tcPr>
          <w:p w14:paraId="3F152542">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rPr>
              <w:t>A级实验室</w:t>
            </w:r>
          </w:p>
        </w:tc>
      </w:tr>
      <w:tr w14:paraId="7B12D38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op w:val="single" w:color="auto" w:sz="8" w:space="0"/>
              <w:tl2br w:val="nil"/>
              <w:tr2bl w:val="nil"/>
            </w:tcBorders>
            <w:vAlign w:val="center"/>
          </w:tcPr>
          <w:p w14:paraId="0C8B24D5">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lang w:val="en-US" w:eastAsia="zh-CN"/>
              </w:rPr>
            </w:pPr>
            <w:r>
              <w:rPr>
                <w:rStyle w:val="25"/>
                <w:rFonts w:hint="eastAsia" w:asciiTheme="minorEastAsia" w:hAnsiTheme="minorEastAsia" w:eastAsiaTheme="minorEastAsia" w:cstheme="minorEastAsia"/>
                <w:kern w:val="0"/>
                <w:sz w:val="18"/>
                <w:szCs w:val="18"/>
                <w:vertAlign w:val="baseline"/>
                <w:lang w:val="en-US" w:eastAsia="zh-CN"/>
              </w:rPr>
              <w:t>人员管理</w:t>
            </w:r>
          </w:p>
        </w:tc>
        <w:tc>
          <w:tcPr>
            <w:tcW w:w="1552" w:type="pct"/>
            <w:tcBorders>
              <w:top w:val="single" w:color="auto" w:sz="8" w:space="0"/>
              <w:tl2br w:val="nil"/>
              <w:tr2bl w:val="nil"/>
            </w:tcBorders>
            <w:vAlign w:val="center"/>
          </w:tcPr>
          <w:p w14:paraId="5A6A8DFA">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rPr>
              <w:t>建立人员信息管理登记系统，手动录入人员基本信息、检测与设备授权信息，生成电子档案</w:t>
            </w:r>
          </w:p>
        </w:tc>
        <w:tc>
          <w:tcPr>
            <w:tcW w:w="1552" w:type="pct"/>
            <w:tcBorders>
              <w:top w:val="single" w:color="auto" w:sz="8" w:space="0"/>
              <w:tl2br w:val="nil"/>
              <w:tr2bl w:val="nil"/>
            </w:tcBorders>
            <w:vAlign w:val="center"/>
          </w:tcPr>
          <w:p w14:paraId="6EABEBA0">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人员管理系统可自动调整配置、智能排班，记录培训考勤数据，生成绩效评估报告</w:t>
            </w:r>
          </w:p>
        </w:tc>
        <w:tc>
          <w:tcPr>
            <w:tcW w:w="1553" w:type="pct"/>
            <w:tcBorders>
              <w:top w:val="single" w:color="auto" w:sz="8" w:space="0"/>
              <w:tl2br w:val="nil"/>
              <w:tr2bl w:val="nil"/>
            </w:tcBorders>
            <w:vAlign w:val="center"/>
          </w:tcPr>
          <w:p w14:paraId="01F62270">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lang w:eastAsia="zh-CN"/>
              </w:rPr>
            </w:pPr>
            <w:r>
              <w:rPr>
                <w:rStyle w:val="25"/>
                <w:rFonts w:hint="eastAsia" w:asciiTheme="minorEastAsia" w:hAnsiTheme="minorEastAsia" w:eastAsiaTheme="minorEastAsia" w:cstheme="minorEastAsia"/>
                <w:kern w:val="0"/>
                <w:sz w:val="18"/>
                <w:szCs w:val="18"/>
                <w:lang w:val="en-US" w:eastAsia="zh-CN"/>
              </w:rPr>
              <w:t>人员管理系统可自动调整配置、智能排班，记录培训考勤数据，生成绩效评估报告</w:t>
            </w:r>
          </w:p>
        </w:tc>
      </w:tr>
      <w:tr w14:paraId="285715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21E4141B">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lang w:val="en-US" w:eastAsia="zh-CN"/>
              </w:rPr>
            </w:pPr>
            <w:r>
              <w:rPr>
                <w:rStyle w:val="25"/>
                <w:rFonts w:hint="eastAsia" w:asciiTheme="minorEastAsia" w:hAnsiTheme="minorEastAsia" w:eastAsiaTheme="minorEastAsia" w:cstheme="minorEastAsia"/>
                <w:kern w:val="0"/>
                <w:sz w:val="18"/>
                <w:szCs w:val="18"/>
                <w:vertAlign w:val="baseline"/>
              </w:rPr>
              <w:t>设备管理</w:t>
            </w:r>
          </w:p>
        </w:tc>
        <w:tc>
          <w:tcPr>
            <w:tcW w:w="1552" w:type="pct"/>
            <w:tcBorders>
              <w:tl2br w:val="nil"/>
              <w:tr2bl w:val="nil"/>
            </w:tcBorders>
            <w:vAlign w:val="center"/>
          </w:tcPr>
          <w:p w14:paraId="291A83F5">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建立数字化设备管理系统，手动记录设备基本信息及检定校准信息</w:t>
            </w:r>
          </w:p>
        </w:tc>
        <w:tc>
          <w:tcPr>
            <w:tcW w:w="1552" w:type="pct"/>
            <w:tcBorders>
              <w:tl2br w:val="nil"/>
              <w:tr2bl w:val="nil"/>
            </w:tcBorders>
            <w:vAlign w:val="center"/>
          </w:tcPr>
          <w:p w14:paraId="2D6099D6">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建立设备“数字身份网”，具备功能分类管理档案库，利用物联网技术监控关键质量参数</w:t>
            </w:r>
          </w:p>
        </w:tc>
        <w:tc>
          <w:tcPr>
            <w:tcW w:w="1553" w:type="pct"/>
            <w:tcBorders>
              <w:tl2br w:val="nil"/>
              <w:tr2bl w:val="nil"/>
            </w:tcBorders>
            <w:vAlign w:val="center"/>
          </w:tcPr>
          <w:p w14:paraId="4622990D">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系统支持设备能耗分析、实时状态监控、异常报警，具备计量溯源及符合性评价功能，智能预警调节设备数据信息</w:t>
            </w:r>
          </w:p>
        </w:tc>
      </w:tr>
      <w:tr w14:paraId="56833F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10571FDE">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lang w:val="en-US" w:eastAsia="zh-CN"/>
              </w:rPr>
            </w:pPr>
            <w:r>
              <w:rPr>
                <w:rStyle w:val="25"/>
                <w:rFonts w:hint="eastAsia" w:asciiTheme="minorEastAsia" w:hAnsiTheme="minorEastAsia" w:eastAsiaTheme="minorEastAsia" w:cstheme="minorEastAsia"/>
                <w:color w:val="000000" w:themeColor="text1"/>
                <w:kern w:val="0"/>
                <w:sz w:val="18"/>
                <w:szCs w:val="18"/>
                <w:lang w:val="en-US" w:eastAsia="zh-CN" w:bidi="ar-SA"/>
                <w14:textFill>
                  <w14:solidFill>
                    <w14:schemeClr w14:val="tx1"/>
                  </w14:solidFill>
                </w14:textFill>
              </w:rPr>
              <w:t>物料</w:t>
            </w:r>
            <w:r>
              <w:rPr>
                <w:rStyle w:val="25"/>
                <w:rFonts w:hint="eastAsia" w:asciiTheme="minorEastAsia" w:hAnsiTheme="minorEastAsia" w:eastAsiaTheme="minorEastAsia" w:cstheme="minorEastAsia"/>
                <w:kern w:val="0"/>
                <w:sz w:val="18"/>
                <w:szCs w:val="18"/>
                <w:vertAlign w:val="baseline"/>
              </w:rPr>
              <w:t>管理</w:t>
            </w:r>
          </w:p>
        </w:tc>
        <w:tc>
          <w:tcPr>
            <w:tcW w:w="1552" w:type="pct"/>
            <w:tcBorders>
              <w:tl2br w:val="nil"/>
              <w:tr2bl w:val="nil"/>
            </w:tcBorders>
            <w:vAlign w:val="center"/>
          </w:tcPr>
          <w:p w14:paraId="000E967D">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建立数字化物料管理系统，手动记录关键试剂耗材信息及使用信息</w:t>
            </w:r>
          </w:p>
        </w:tc>
        <w:tc>
          <w:tcPr>
            <w:tcW w:w="1552" w:type="pct"/>
            <w:tcBorders>
              <w:tl2br w:val="nil"/>
              <w:tr2bl w:val="nil"/>
            </w:tcBorders>
            <w:vAlign w:val="center"/>
          </w:tcPr>
          <w:p w14:paraId="27533867">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建立关键物料分类管理系统，支持电子化申购流程，特殊管理关键物料，动态管理库存，具备追溯功能</w:t>
            </w:r>
          </w:p>
        </w:tc>
        <w:tc>
          <w:tcPr>
            <w:tcW w:w="1553" w:type="pct"/>
            <w:tcBorders>
              <w:tl2br w:val="nil"/>
              <w:tr2bl w:val="nil"/>
            </w:tcBorders>
            <w:vAlign w:val="center"/>
          </w:tcPr>
          <w:p w14:paraId="71B60E9D">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实现全部物料验收、质量控制、电子化采购、库存动态管理及追溯，建立电子档案库</w:t>
            </w:r>
          </w:p>
        </w:tc>
      </w:tr>
      <w:tr w14:paraId="5C60140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04682AE4">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rPr>
              <w:t>样品管理</w:t>
            </w:r>
          </w:p>
        </w:tc>
        <w:tc>
          <w:tcPr>
            <w:tcW w:w="1552" w:type="pct"/>
            <w:tcBorders>
              <w:tl2br w:val="nil"/>
              <w:tr2bl w:val="nil"/>
            </w:tcBorders>
            <w:vAlign w:val="center"/>
          </w:tcPr>
          <w:p w14:paraId="6ECC34C5">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建立样品管理系统，手动记录样品基本信息及状态变更</w:t>
            </w:r>
          </w:p>
        </w:tc>
        <w:tc>
          <w:tcPr>
            <w:tcW w:w="1552" w:type="pct"/>
            <w:tcBorders>
              <w:tl2br w:val="nil"/>
              <w:tr2bl w:val="nil"/>
            </w:tcBorders>
            <w:vAlign w:val="center"/>
          </w:tcPr>
          <w:p w14:paraId="3D9A511C">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建立虚拟样品仓库，关键操作场所安装视频监控设备，自动生成样品制备报告，支持条形码或RFID追溯管理</w:t>
            </w:r>
          </w:p>
        </w:tc>
        <w:tc>
          <w:tcPr>
            <w:tcW w:w="1553" w:type="pct"/>
            <w:tcBorders>
              <w:tl2br w:val="nil"/>
              <w:tr2bl w:val="nil"/>
            </w:tcBorders>
            <w:vAlign w:val="center"/>
          </w:tcPr>
          <w:p w14:paraId="3EA07A3F">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根据存储要求安排样品存储，记录有效期并自动提醒，合理安排存储位置和条件</w:t>
            </w:r>
          </w:p>
        </w:tc>
      </w:tr>
      <w:tr w14:paraId="2DC6884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56AB635B">
            <w:pPr>
              <w:adjustRightInd w:val="0"/>
              <w:snapToGrid w:val="0"/>
              <w:ind w:left="0" w:leftChars="0" w:right="0" w:rightChars="0"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rPr>
              <w:t>资质能力管理</w:t>
            </w:r>
          </w:p>
        </w:tc>
        <w:tc>
          <w:tcPr>
            <w:tcW w:w="1552" w:type="pct"/>
            <w:tcBorders>
              <w:tl2br w:val="nil"/>
              <w:tr2bl w:val="nil"/>
            </w:tcBorders>
            <w:vAlign w:val="center"/>
          </w:tcPr>
          <w:p w14:paraId="22E7FCAA">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rPr>
              <w:t>具备纸质资质证书和人员资质能力证书，手动上传至系统</w:t>
            </w:r>
          </w:p>
        </w:tc>
        <w:tc>
          <w:tcPr>
            <w:tcW w:w="1552" w:type="pct"/>
            <w:tcBorders>
              <w:tl2br w:val="nil"/>
              <w:tr2bl w:val="nil"/>
            </w:tcBorders>
            <w:vAlign w:val="center"/>
          </w:tcPr>
          <w:p w14:paraId="4A82DFC9">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资质证书和人员资质能力证书可线上查询上传，定期线上审核。建立方法标准信息库，数字化管理方法</w:t>
            </w:r>
          </w:p>
        </w:tc>
        <w:tc>
          <w:tcPr>
            <w:tcW w:w="1553" w:type="pct"/>
            <w:tcBorders>
              <w:tl2br w:val="nil"/>
              <w:tr2bl w:val="nil"/>
            </w:tcBorders>
            <w:vAlign w:val="center"/>
          </w:tcPr>
          <w:p w14:paraId="42F127E2">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具备CMA和CNAS认证资质并关联系统，定期复审评估</w:t>
            </w:r>
          </w:p>
        </w:tc>
      </w:tr>
      <w:tr w14:paraId="1895585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199F1EE3">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环境管理</w:t>
            </w:r>
          </w:p>
        </w:tc>
        <w:tc>
          <w:tcPr>
            <w:tcW w:w="1552" w:type="pct"/>
            <w:tcBorders>
              <w:tl2br w:val="nil"/>
              <w:tr2bl w:val="nil"/>
            </w:tcBorders>
            <w:vAlign w:val="center"/>
          </w:tcPr>
          <w:p w14:paraId="492C22B0">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手动记录温湿度等环境参数，定期检查维护设施并上传记录</w:t>
            </w:r>
          </w:p>
        </w:tc>
        <w:tc>
          <w:tcPr>
            <w:tcW w:w="1552" w:type="pct"/>
            <w:tcBorders>
              <w:tl2br w:val="nil"/>
              <w:tr2bl w:val="nil"/>
            </w:tcBorders>
            <w:vAlign w:val="center"/>
          </w:tcPr>
          <w:p w14:paraId="44780BD3">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利用物联网技术自动记录关键环境参数，监控系统具备实时监控、数据记录及异常报警功能</w:t>
            </w:r>
          </w:p>
        </w:tc>
        <w:tc>
          <w:tcPr>
            <w:tcW w:w="1553" w:type="pct"/>
            <w:tcBorders>
              <w:tl2br w:val="nil"/>
              <w:tr2bl w:val="nil"/>
            </w:tcBorders>
            <w:vAlign w:val="center"/>
          </w:tcPr>
          <w:p w14:paraId="5569F343">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记录详细环境监控数据，智能调控与能效管理环境数据，具备环境事件记录追踪功能</w:t>
            </w:r>
          </w:p>
        </w:tc>
      </w:tr>
      <w:tr w14:paraId="373A1F8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685E32B4">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报告管理</w:t>
            </w:r>
          </w:p>
        </w:tc>
        <w:tc>
          <w:tcPr>
            <w:tcW w:w="1552" w:type="pct"/>
            <w:tcBorders>
              <w:tl2br w:val="nil"/>
              <w:tr2bl w:val="nil"/>
            </w:tcBorders>
            <w:vAlign w:val="center"/>
          </w:tcPr>
          <w:p w14:paraId="40AEED47">
            <w:pPr>
              <w:adjustRightInd w:val="0"/>
              <w:snapToGrid w:val="0"/>
              <w:ind w:firstLine="183" w:firstLineChars="100"/>
              <w:jc w:val="both"/>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建立数字化报告系统，手动记录报告信息及变更情况</w:t>
            </w:r>
          </w:p>
        </w:tc>
        <w:tc>
          <w:tcPr>
            <w:tcW w:w="1552" w:type="pct"/>
            <w:tcBorders>
              <w:tl2br w:val="nil"/>
              <w:tr2bl w:val="nil"/>
            </w:tcBorders>
            <w:vAlign w:val="center"/>
          </w:tcPr>
          <w:p w14:paraId="211275C6">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实现报告电子化分析，具备自动化报告生成功能，数据自动抓取，审计追踪</w:t>
            </w:r>
          </w:p>
        </w:tc>
        <w:tc>
          <w:tcPr>
            <w:tcW w:w="1553" w:type="pct"/>
            <w:tcBorders>
              <w:tl2br w:val="nil"/>
              <w:tr2bl w:val="nil"/>
            </w:tcBorders>
            <w:vAlign w:val="center"/>
          </w:tcPr>
          <w:p w14:paraId="64B3DEFA">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建立报告档案库，支持电子化共享，确保报告长期保存可追溯</w:t>
            </w:r>
          </w:p>
        </w:tc>
      </w:tr>
      <w:tr w14:paraId="27B9124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5BB7C224">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检测管理</w:t>
            </w:r>
          </w:p>
        </w:tc>
        <w:tc>
          <w:tcPr>
            <w:tcW w:w="1552" w:type="pct"/>
            <w:tcBorders>
              <w:tl2br w:val="nil"/>
              <w:tr2bl w:val="nil"/>
            </w:tcBorders>
            <w:vAlign w:val="center"/>
          </w:tcPr>
          <w:p w14:paraId="50BAAD14">
            <w:pPr>
              <w:adjustRightInd w:val="0"/>
              <w:snapToGrid w:val="0"/>
              <w:ind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w:t>
            </w:r>
          </w:p>
        </w:tc>
        <w:tc>
          <w:tcPr>
            <w:tcW w:w="1552" w:type="pct"/>
            <w:tcBorders>
              <w:tl2br w:val="nil"/>
              <w:tr2bl w:val="nil"/>
            </w:tcBorders>
            <w:vAlign w:val="center"/>
          </w:tcPr>
          <w:p w14:paraId="5CC2FE9C">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建立数字化检测项目管理系统，电子化管理项目。自动采集解析仪器人员检测数据处理软件结果，适配至原始记录</w:t>
            </w:r>
          </w:p>
        </w:tc>
        <w:tc>
          <w:tcPr>
            <w:tcW w:w="1553" w:type="pct"/>
            <w:tcBorders>
              <w:tl2br w:val="nil"/>
              <w:tr2bl w:val="nil"/>
            </w:tcBorders>
            <w:vAlign w:val="center"/>
          </w:tcPr>
          <w:p w14:paraId="73551AA0">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vertAlign w:val="baseline"/>
              </w:rPr>
              <w:t>通过数据分析系统等，整合实验室的各项运营数据，自动生成</w:t>
            </w:r>
            <w:r>
              <w:rPr>
                <w:rStyle w:val="25"/>
                <w:rFonts w:hint="eastAsia" w:asciiTheme="minorEastAsia" w:hAnsiTheme="minorEastAsia" w:eastAsiaTheme="minorEastAsia" w:cstheme="minorEastAsia"/>
                <w:kern w:val="0"/>
                <w:sz w:val="18"/>
                <w:szCs w:val="18"/>
                <w:vertAlign w:val="baseline"/>
                <w:lang w:val="en-US" w:eastAsia="zh-CN"/>
              </w:rPr>
              <w:t>报告</w:t>
            </w:r>
            <w:r>
              <w:rPr>
                <w:rStyle w:val="25"/>
                <w:rFonts w:hint="eastAsia" w:asciiTheme="minorEastAsia" w:hAnsiTheme="minorEastAsia" w:eastAsiaTheme="minorEastAsia" w:cstheme="minorEastAsia"/>
                <w:kern w:val="0"/>
                <w:sz w:val="18"/>
                <w:szCs w:val="18"/>
                <w:vertAlign w:val="baseline"/>
              </w:rPr>
              <w:t>计划</w:t>
            </w:r>
          </w:p>
        </w:tc>
      </w:tr>
      <w:tr w14:paraId="64BC2AB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tl2br w:val="nil"/>
              <w:tr2bl w:val="nil"/>
            </w:tcBorders>
            <w:vAlign w:val="center"/>
          </w:tcPr>
          <w:p w14:paraId="6B332874">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质量管理</w:t>
            </w:r>
          </w:p>
        </w:tc>
        <w:tc>
          <w:tcPr>
            <w:tcW w:w="1552" w:type="pct"/>
            <w:tcBorders>
              <w:tl2br w:val="nil"/>
              <w:tr2bl w:val="nil"/>
            </w:tcBorders>
            <w:vAlign w:val="center"/>
          </w:tcPr>
          <w:p w14:paraId="14BBB8B3">
            <w:pPr>
              <w:adjustRightInd w:val="0"/>
              <w:snapToGrid w:val="0"/>
              <w:ind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w:t>
            </w:r>
          </w:p>
        </w:tc>
        <w:tc>
          <w:tcPr>
            <w:tcW w:w="1552" w:type="pct"/>
            <w:tcBorders>
              <w:tl2br w:val="nil"/>
              <w:tr2bl w:val="nil"/>
            </w:tcBorders>
            <w:vAlign w:val="center"/>
          </w:tcPr>
          <w:p w14:paraId="512E8AC1">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制定数字化质量电子手册，线上程序文件管理，电子作业指导书，</w:t>
            </w:r>
            <w:r>
              <w:rPr>
                <w:rStyle w:val="25"/>
                <w:rFonts w:hint="eastAsia" w:asciiTheme="minorEastAsia" w:hAnsiTheme="minorEastAsia" w:eastAsiaTheme="minorEastAsia" w:cstheme="minorEastAsia"/>
                <w:kern w:val="0"/>
                <w:sz w:val="18"/>
                <w:szCs w:val="18"/>
                <w:vertAlign w:val="baseline"/>
              </w:rPr>
              <w:t>记录各项质量活动</w:t>
            </w:r>
          </w:p>
        </w:tc>
        <w:tc>
          <w:tcPr>
            <w:tcW w:w="1553" w:type="pct"/>
            <w:tcBorders>
              <w:tl2br w:val="nil"/>
              <w:tr2bl w:val="nil"/>
            </w:tcBorders>
            <w:vAlign w:val="center"/>
          </w:tcPr>
          <w:p w14:paraId="06C1D525">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vertAlign w:val="baseline"/>
              </w:rPr>
              <w:t>具备质量风险评估功能</w:t>
            </w:r>
            <w:r>
              <w:rPr>
                <w:rStyle w:val="25"/>
                <w:rFonts w:hint="eastAsia" w:asciiTheme="minorEastAsia" w:hAnsiTheme="minorEastAsia" w:eastAsiaTheme="minorEastAsia" w:cstheme="minorEastAsia"/>
                <w:kern w:val="0"/>
                <w:sz w:val="18"/>
                <w:szCs w:val="18"/>
                <w:vertAlign w:val="baseline"/>
                <w:lang w:eastAsia="zh-CN"/>
              </w:rPr>
              <w:t>，</w:t>
            </w:r>
            <w:r>
              <w:rPr>
                <w:rStyle w:val="25"/>
                <w:rFonts w:hint="eastAsia" w:asciiTheme="minorEastAsia" w:hAnsiTheme="minorEastAsia" w:eastAsiaTheme="minorEastAsia" w:cstheme="minorEastAsia"/>
                <w:kern w:val="0"/>
                <w:sz w:val="18"/>
                <w:szCs w:val="18"/>
                <w:vertAlign w:val="baseline"/>
                <w:lang w:val="en-US" w:eastAsia="zh-CN"/>
              </w:rPr>
              <w:t>自动生成质量管理趋势报告</w:t>
            </w:r>
          </w:p>
        </w:tc>
      </w:tr>
      <w:tr w14:paraId="68B27A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964" w:hRule="atLeast"/>
          <w:tblHeader/>
          <w:jc w:val="center"/>
        </w:trPr>
        <w:tc>
          <w:tcPr>
            <w:tcW w:w="342" w:type="pct"/>
            <w:tcBorders>
              <w:bottom w:val="single" w:color="auto" w:sz="8" w:space="0"/>
              <w:tl2br w:val="nil"/>
              <w:tr2bl w:val="nil"/>
            </w:tcBorders>
            <w:vAlign w:val="center"/>
          </w:tcPr>
          <w:p w14:paraId="355908A7">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其他</w:t>
            </w:r>
          </w:p>
        </w:tc>
        <w:tc>
          <w:tcPr>
            <w:tcW w:w="1552" w:type="pct"/>
            <w:tcBorders>
              <w:bottom w:val="single" w:color="auto" w:sz="8" w:space="0"/>
              <w:tl2br w:val="nil"/>
              <w:tr2bl w:val="nil"/>
            </w:tcBorders>
            <w:vAlign w:val="center"/>
          </w:tcPr>
          <w:p w14:paraId="7AA96356">
            <w:pPr>
              <w:adjustRightInd w:val="0"/>
              <w:snapToGrid w:val="0"/>
              <w:ind w:firstLine="0" w:firstLineChars="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lang w:val="en-US" w:eastAsia="zh-CN"/>
              </w:rPr>
              <w:t>—</w:t>
            </w:r>
          </w:p>
        </w:tc>
        <w:tc>
          <w:tcPr>
            <w:tcW w:w="1552" w:type="pct"/>
            <w:tcBorders>
              <w:bottom w:val="single" w:color="auto" w:sz="8" w:space="0"/>
              <w:tl2br w:val="nil"/>
              <w:tr2bl w:val="nil"/>
            </w:tcBorders>
            <w:vAlign w:val="center"/>
          </w:tcPr>
          <w:p w14:paraId="7C82059B">
            <w:pPr>
              <w:adjustRightInd w:val="0"/>
              <w:snapToGrid w:val="0"/>
              <w:ind w:firstLine="0" w:firstLineChars="0"/>
              <w:jc w:val="center"/>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lang w:val="en-US" w:eastAsia="zh-CN"/>
              </w:rPr>
              <w:t>—</w:t>
            </w:r>
          </w:p>
        </w:tc>
        <w:tc>
          <w:tcPr>
            <w:tcW w:w="1553" w:type="pct"/>
            <w:tcBorders>
              <w:bottom w:val="single" w:color="auto" w:sz="8" w:space="0"/>
              <w:tl2br w:val="nil"/>
              <w:tr2bl w:val="nil"/>
            </w:tcBorders>
            <w:vAlign w:val="center"/>
          </w:tcPr>
          <w:p w14:paraId="770D60A9">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vertAlign w:val="baseline"/>
              </w:rPr>
              <w:t>涵盖客户信息的管理</w:t>
            </w:r>
            <w:r>
              <w:rPr>
                <w:rStyle w:val="25"/>
                <w:rFonts w:hint="eastAsia" w:asciiTheme="minorEastAsia" w:hAnsiTheme="minorEastAsia" w:eastAsiaTheme="minorEastAsia" w:cstheme="minorEastAsia"/>
                <w:kern w:val="0"/>
                <w:sz w:val="18"/>
                <w:szCs w:val="18"/>
                <w:vertAlign w:val="baseline"/>
                <w:lang w:val="en-US" w:eastAsia="zh-CN"/>
              </w:rPr>
              <w:t>和</w:t>
            </w:r>
            <w:r>
              <w:rPr>
                <w:rStyle w:val="25"/>
                <w:rFonts w:hint="eastAsia" w:asciiTheme="minorEastAsia" w:hAnsiTheme="minorEastAsia" w:eastAsiaTheme="minorEastAsia" w:cstheme="minorEastAsia"/>
                <w:kern w:val="0"/>
                <w:sz w:val="18"/>
                <w:szCs w:val="18"/>
                <w:vertAlign w:val="baseline"/>
              </w:rPr>
              <w:t>财务与成本管理可实时监控财务状况</w:t>
            </w:r>
          </w:p>
        </w:tc>
      </w:tr>
      <w:tr w14:paraId="74B4312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cantSplit/>
          <w:trHeight w:val="567" w:hRule="atLeast"/>
          <w:tblHeader/>
          <w:jc w:val="center"/>
        </w:trPr>
        <w:tc>
          <w:tcPr>
            <w:tcW w:w="342" w:type="pct"/>
            <w:tcBorders>
              <w:top w:val="single" w:color="auto" w:sz="8" w:space="0"/>
            </w:tcBorders>
            <w:vAlign w:val="center"/>
          </w:tcPr>
          <w:p w14:paraId="48C7A61D">
            <w:pPr>
              <w:adjustRightInd w:val="0"/>
              <w:snapToGrid w:val="0"/>
              <w:jc w:val="center"/>
              <w:rPr>
                <w:rStyle w:val="25"/>
                <w:rFonts w:hint="eastAsia" w:asciiTheme="minorEastAsia" w:hAnsiTheme="minorEastAsia" w:eastAsiaTheme="minorEastAsia" w:cstheme="minorEastAsia"/>
                <w:kern w:val="0"/>
                <w:sz w:val="18"/>
                <w:szCs w:val="18"/>
                <w:vertAlign w:val="baseline"/>
              </w:rPr>
            </w:pPr>
            <w:r>
              <w:rPr>
                <w:rStyle w:val="25"/>
                <w:rFonts w:hint="eastAsia" w:asciiTheme="minorEastAsia" w:hAnsiTheme="minorEastAsia" w:eastAsiaTheme="minorEastAsia" w:cstheme="minorEastAsia"/>
                <w:kern w:val="0"/>
                <w:sz w:val="18"/>
                <w:szCs w:val="18"/>
                <w:vertAlign w:val="baseline"/>
                <w:lang w:val="en-US" w:eastAsia="zh-CN"/>
              </w:rPr>
              <w:t>备注</w:t>
            </w:r>
          </w:p>
        </w:tc>
        <w:tc>
          <w:tcPr>
            <w:tcW w:w="4657" w:type="pct"/>
            <w:gridSpan w:val="3"/>
            <w:tcBorders>
              <w:top w:val="single" w:color="auto" w:sz="8" w:space="0"/>
            </w:tcBorders>
            <w:vAlign w:val="center"/>
          </w:tcPr>
          <w:p w14:paraId="152FA3F2">
            <w:pPr>
              <w:adjustRightInd w:val="0"/>
              <w:snapToGrid w:val="0"/>
              <w:ind w:firstLine="183" w:firstLineChars="100"/>
              <w:jc w:val="both"/>
              <w:rPr>
                <w:rStyle w:val="25"/>
                <w:rFonts w:hint="eastAsia" w:asciiTheme="minorEastAsia" w:hAnsiTheme="minorEastAsia" w:eastAsiaTheme="minorEastAsia" w:cstheme="minorEastAsia"/>
                <w:kern w:val="0"/>
                <w:sz w:val="18"/>
                <w:szCs w:val="18"/>
                <w:lang w:val="en-US" w:eastAsia="zh-CN"/>
              </w:rPr>
            </w:pPr>
            <w:r>
              <w:rPr>
                <w:rStyle w:val="25"/>
                <w:rFonts w:hint="eastAsia" w:asciiTheme="minorEastAsia" w:hAnsiTheme="minorEastAsia" w:eastAsiaTheme="minorEastAsia" w:cstheme="minorEastAsia"/>
                <w:kern w:val="0"/>
                <w:sz w:val="18"/>
                <w:szCs w:val="18"/>
                <w:vertAlign w:val="baseline"/>
                <w:lang w:val="en-US" w:eastAsia="zh-CN"/>
              </w:rPr>
              <w:t>A级实验室包含B级所有内容，B级实验室包含C级实验室所有内容</w:t>
            </w:r>
          </w:p>
        </w:tc>
      </w:tr>
    </w:tbl>
    <w:p w14:paraId="1D4E6D21">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outlineLvl w:val="9"/>
        <w:rPr>
          <w:rFonts w:hint="default" w:eastAsia="仿宋_GB2312" w:asciiTheme="minorHAnsi" w:hAnsiTheme="minorHAnsi" w:cstheme="minorBidi"/>
          <w:kern w:val="2"/>
          <w:sz w:val="28"/>
          <w:szCs w:val="24"/>
          <w:lang w:val="en-US" w:eastAsia="zh-CN" w:bidi="ar-SA"/>
        </w:rPr>
      </w:pPr>
    </w:p>
    <w:p w14:paraId="776E33A3">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outlineLvl w:val="9"/>
        <w:rPr>
          <w:rFonts w:hint="default" w:eastAsia="仿宋_GB2312" w:asciiTheme="minorHAnsi" w:hAnsiTheme="minorHAnsi" w:cstheme="minorBidi"/>
          <w:kern w:val="2"/>
          <w:sz w:val="28"/>
          <w:szCs w:val="24"/>
          <w:lang w:val="en-US" w:eastAsia="zh-CN" w:bidi="ar-SA"/>
        </w:rPr>
        <w:sectPr>
          <w:pgSz w:w="11905" w:h="16838"/>
          <w:pgMar w:top="1417" w:right="1134" w:bottom="1417" w:left="1417" w:header="1417" w:footer="1134" w:gutter="0"/>
          <w:pgBorders>
            <w:top w:val="none" w:sz="0" w:space="0"/>
            <w:left w:val="none" w:sz="0" w:space="0"/>
            <w:bottom w:val="none" w:sz="0" w:space="0"/>
            <w:right w:val="none" w:sz="0" w:space="0"/>
          </w:pgBorders>
          <w:pgNumType w:fmt="decimal"/>
          <w:cols w:space="0" w:num="1"/>
          <w:titlePg/>
          <w:docGrid w:type="linesAndChars" w:linePitch="389" w:charSpace="707"/>
        </w:sectPr>
      </w:pPr>
    </w:p>
    <w:p w14:paraId="2F65F859">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outlineLvl w:val="0"/>
        <w:rPr>
          <w:rFonts w:hint="eastAsia" w:ascii="黑体" w:hAnsi="黑体" w:eastAsia="黑体" w:cs="黑体"/>
          <w:b/>
          <w:bCs/>
          <w:kern w:val="0"/>
          <w:sz w:val="21"/>
          <w:szCs w:val="20"/>
          <w:lang w:val="en-US" w:eastAsia="zh-CN" w:bidi="ar-SA"/>
        </w:rPr>
      </w:pPr>
      <w:bookmarkStart w:id="224" w:name="_Toc12282"/>
      <w:bookmarkStart w:id="225" w:name="_Toc22905"/>
      <w:bookmarkStart w:id="226" w:name="_Toc22809"/>
      <w:bookmarkStart w:id="227" w:name="_Toc29513"/>
      <w:bookmarkStart w:id="228" w:name="_Toc30305"/>
      <w:bookmarkStart w:id="229" w:name="_Toc22309"/>
      <w:bookmarkStart w:id="230" w:name="_Toc3192"/>
      <w:r>
        <w:rPr>
          <w:rFonts w:hint="eastAsia" w:ascii="黑体" w:hAnsi="黑体" w:eastAsia="黑体" w:cs="黑体"/>
          <w:b/>
          <w:bCs/>
          <w:kern w:val="0"/>
          <w:sz w:val="21"/>
          <w:szCs w:val="20"/>
          <w:lang w:val="en-US" w:eastAsia="zh-CN" w:bidi="ar-SA"/>
        </w:rPr>
        <w:t>参 考 文 献</w:t>
      </w:r>
      <w:bookmarkEnd w:id="224"/>
      <w:bookmarkEnd w:id="225"/>
      <w:bookmarkEnd w:id="226"/>
      <w:bookmarkEnd w:id="227"/>
      <w:bookmarkEnd w:id="228"/>
      <w:bookmarkEnd w:id="229"/>
      <w:bookmarkEnd w:id="230"/>
    </w:p>
    <w:p w14:paraId="02AA8132">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1</w:t>
      </w:r>
      <w:r>
        <w:rPr>
          <w:rFonts w:hint="default" w:ascii="Times New Roman" w:hAnsi="Times New Roman" w:eastAsia="宋体" w:cs="Times New Roman"/>
          <w:kern w:val="0"/>
          <w:sz w:val="21"/>
          <w:szCs w:val="20"/>
          <w:lang w:val="en-US" w:eastAsia="zh-CN" w:bidi="ar-SA"/>
        </w:rPr>
        <w:t>]　GB/T 5271.1-2000　信息技术 词汇 第一部分术语</w:t>
      </w:r>
    </w:p>
    <w:p w14:paraId="5687AF72">
      <w:pPr>
        <w:keepNext w:val="0"/>
        <w:keepLines w:val="0"/>
        <w:pageBreakBefore w:val="0"/>
        <w:widowControl w:val="0"/>
        <w:kinsoku/>
        <w:wordWrap/>
        <w:overflowPunct/>
        <w:topLinePunct w:val="0"/>
        <w:autoSpaceDE/>
        <w:autoSpaceDN/>
        <w:bidi w:val="0"/>
        <w:adjustRightInd w:val="0"/>
        <w:snapToGrid w:val="0"/>
        <w:ind w:firstLine="426" w:firstLineChars="200"/>
        <w:textAlignment w:val="auto"/>
        <w:outlineLvl w:val="9"/>
        <w:rPr>
          <w:rFonts w:hint="default" w:ascii="Times New Roman" w:hAnsi="Times New Roman" w:eastAsia="宋体" w:cs="Times New Roman"/>
          <w:kern w:val="0"/>
          <w:sz w:val="21"/>
          <w:szCs w:val="20"/>
        </w:rPr>
      </w:pPr>
      <w:r>
        <w:rPr>
          <w:rFonts w:hint="default" w:ascii="Times New Roman" w:hAnsi="Times New Roman" w:eastAsia="宋体" w:cs="Times New Roman"/>
          <w:kern w:val="0"/>
          <w:sz w:val="21"/>
          <w:szCs w:val="20"/>
          <w:lang w:val="en-US" w:eastAsia="zh-CN" w:bidi="ar-SA"/>
        </w:rPr>
        <w:t>[2]　</w:t>
      </w:r>
      <w:r>
        <w:rPr>
          <w:rFonts w:hint="default" w:ascii="Times New Roman" w:hAnsi="Times New Roman" w:eastAsia="宋体" w:cs="Times New Roman"/>
          <w:kern w:val="0"/>
          <w:sz w:val="21"/>
          <w:szCs w:val="20"/>
          <w:lang w:val="en-US" w:eastAsia="zh-CN"/>
        </w:rPr>
        <w:t>GB/T</w:t>
      </w:r>
      <w:r>
        <w:rPr>
          <w:rFonts w:hint="default" w:ascii="Times New Roman" w:hAnsi="Times New Roman" w:eastAsia="宋体" w:cs="Times New Roman"/>
          <w:kern w:val="0"/>
          <w:sz w:val="21"/>
          <w:szCs w:val="20"/>
          <w:highlight w:val="none"/>
          <w:lang w:val="en-US" w:eastAsia="zh-CN"/>
        </w:rPr>
        <w:t xml:space="preserve"> 2</w:t>
      </w:r>
      <w:r>
        <w:rPr>
          <w:rFonts w:hint="default" w:ascii="Times New Roman" w:hAnsi="Times New Roman" w:eastAsia="宋体" w:cs="Times New Roman"/>
          <w:kern w:val="0"/>
          <w:sz w:val="21"/>
          <w:szCs w:val="20"/>
          <w:highlight w:val="none"/>
        </w:rPr>
        <w:t>7025</w:t>
      </w:r>
      <w:r>
        <w:rPr>
          <w:rFonts w:hint="default" w:ascii="Times New Roman" w:hAnsi="Times New Roman" w:eastAsia="宋体" w:cs="Times New Roman"/>
          <w:kern w:val="0"/>
          <w:sz w:val="21"/>
          <w:szCs w:val="20"/>
          <w:highlight w:val="none"/>
          <w:lang w:val="en-US" w:eastAsia="zh-CN"/>
        </w:rPr>
        <w:t>-2019</w:t>
      </w:r>
      <w:r>
        <w:rPr>
          <w:rFonts w:hint="default" w:ascii="Times New Roman" w:hAnsi="Times New Roman" w:eastAsia="宋体" w:cs="Times New Roman"/>
          <w:kern w:val="0"/>
          <w:sz w:val="21"/>
          <w:szCs w:val="20"/>
          <w:lang w:val="en-US" w:eastAsia="zh-CN" w:bidi="ar-SA"/>
        </w:rPr>
        <w:t>　</w:t>
      </w:r>
      <w:r>
        <w:rPr>
          <w:rFonts w:hint="default" w:ascii="Times New Roman" w:hAnsi="Times New Roman" w:eastAsia="宋体" w:cs="Times New Roman"/>
          <w:kern w:val="0"/>
          <w:sz w:val="21"/>
          <w:szCs w:val="20"/>
          <w:highlight w:val="none"/>
        </w:rPr>
        <w:t>检测和校准实验室能</w:t>
      </w:r>
      <w:r>
        <w:rPr>
          <w:rFonts w:hint="default" w:ascii="Times New Roman" w:hAnsi="Times New Roman" w:eastAsia="宋体" w:cs="Times New Roman"/>
          <w:kern w:val="0"/>
          <w:sz w:val="21"/>
          <w:szCs w:val="20"/>
        </w:rPr>
        <w:t>力的通用要求</w:t>
      </w:r>
    </w:p>
    <w:p w14:paraId="246E3F9B">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3</w:t>
      </w:r>
      <w:r>
        <w:rPr>
          <w:rFonts w:hint="default" w:ascii="Times New Roman" w:hAnsi="Times New Roman" w:eastAsia="宋体" w:cs="Times New Roman"/>
          <w:kern w:val="0"/>
          <w:sz w:val="21"/>
          <w:szCs w:val="20"/>
          <w:lang w:val="en-US" w:eastAsia="zh-CN" w:bidi="ar-SA"/>
        </w:rPr>
        <w:t>]　GB/T 33745-2017　物联网 术语</w:t>
      </w:r>
    </w:p>
    <w:p w14:paraId="0661229A">
      <w:pPr>
        <w:keepNext w:val="0"/>
        <w:keepLines w:val="0"/>
        <w:pageBreakBefore w:val="0"/>
        <w:widowControl w:val="0"/>
        <w:kinsoku/>
        <w:wordWrap/>
        <w:overflowPunct/>
        <w:topLinePunct w:val="0"/>
        <w:autoSpaceDE/>
        <w:autoSpaceDN/>
        <w:bidi w:val="0"/>
        <w:adjustRightInd w:val="0"/>
        <w:snapToGrid w:val="0"/>
        <w:ind w:firstLine="426" w:firstLineChars="200"/>
        <w:textAlignment w:val="auto"/>
        <w:outlineLvl w:val="9"/>
        <w:rPr>
          <w:rFonts w:hint="default" w:ascii="Times New Roman" w:hAnsi="Times New Roman" w:eastAsia="宋体" w:cs="Times New Roman"/>
          <w:kern w:val="0"/>
          <w:sz w:val="21"/>
          <w:szCs w:val="20"/>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4</w:t>
      </w:r>
      <w:r>
        <w:rPr>
          <w:rFonts w:hint="default" w:ascii="Times New Roman" w:hAnsi="Times New Roman" w:eastAsia="宋体" w:cs="Times New Roman"/>
          <w:kern w:val="0"/>
          <w:sz w:val="21"/>
          <w:szCs w:val="20"/>
          <w:lang w:val="en-US" w:eastAsia="zh-CN" w:bidi="ar-SA"/>
        </w:rPr>
        <w:t>]　GB/T 35295-2017　信息技术 大数据 术语</w:t>
      </w:r>
    </w:p>
    <w:p w14:paraId="29FCA438">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5</w:t>
      </w:r>
      <w:r>
        <w:rPr>
          <w:rFonts w:hint="default" w:ascii="Times New Roman" w:hAnsi="Times New Roman" w:eastAsia="宋体" w:cs="Times New Roman"/>
          <w:kern w:val="0"/>
          <w:sz w:val="21"/>
          <w:szCs w:val="20"/>
          <w:lang w:val="en-US" w:eastAsia="zh-CN" w:bidi="ar-SA"/>
        </w:rPr>
        <w:t>]　RB/T 028　实验室信息</w:t>
      </w:r>
      <w:r>
        <w:rPr>
          <w:rFonts w:hint="eastAsia" w:ascii="Times New Roman" w:hAnsi="Times New Roman" w:eastAsia="宋体" w:cs="Times New Roman"/>
          <w:kern w:val="0"/>
          <w:sz w:val="21"/>
          <w:szCs w:val="20"/>
          <w:lang w:val="en-US" w:eastAsia="zh-CN" w:bidi="ar-SA"/>
        </w:rPr>
        <w:t>管理</w:t>
      </w:r>
      <w:r>
        <w:rPr>
          <w:rFonts w:hint="default" w:ascii="Times New Roman" w:hAnsi="Times New Roman" w:eastAsia="宋体" w:cs="Times New Roman"/>
          <w:kern w:val="0"/>
          <w:sz w:val="21"/>
          <w:szCs w:val="20"/>
          <w:lang w:val="en-US" w:eastAsia="zh-CN" w:bidi="ar-SA"/>
        </w:rPr>
        <w:t>系统管理规范</w:t>
      </w:r>
    </w:p>
    <w:p w14:paraId="7CA90E2C">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6</w:t>
      </w:r>
      <w:r>
        <w:rPr>
          <w:rFonts w:hint="default" w:ascii="Times New Roman" w:hAnsi="Times New Roman" w:eastAsia="宋体" w:cs="Times New Roman"/>
          <w:kern w:val="0"/>
          <w:sz w:val="21"/>
          <w:szCs w:val="20"/>
          <w:lang w:val="en-US" w:eastAsia="zh-CN" w:bidi="ar-SA"/>
        </w:rPr>
        <w:t>]　RB/T 029　检测实验室信息</w:t>
      </w:r>
      <w:r>
        <w:rPr>
          <w:rFonts w:hint="eastAsia" w:ascii="Times New Roman" w:hAnsi="Times New Roman" w:eastAsia="宋体" w:cs="Times New Roman"/>
          <w:kern w:val="0"/>
          <w:sz w:val="21"/>
          <w:szCs w:val="20"/>
          <w:lang w:val="en-US" w:eastAsia="zh-CN" w:bidi="ar-SA"/>
        </w:rPr>
        <w:t>管理</w:t>
      </w:r>
      <w:r>
        <w:rPr>
          <w:rFonts w:hint="default" w:ascii="Times New Roman" w:hAnsi="Times New Roman" w:eastAsia="宋体" w:cs="Times New Roman"/>
          <w:kern w:val="0"/>
          <w:sz w:val="21"/>
          <w:szCs w:val="20"/>
          <w:lang w:val="en-US" w:eastAsia="zh-CN" w:bidi="ar-SA"/>
        </w:rPr>
        <w:t>系统建设指南</w:t>
      </w:r>
    </w:p>
    <w:p w14:paraId="4D1D0672">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7</w:t>
      </w:r>
      <w:r>
        <w:rPr>
          <w:rFonts w:hint="default" w:ascii="Times New Roman" w:hAnsi="Times New Roman" w:eastAsia="宋体" w:cs="Times New Roman"/>
          <w:kern w:val="0"/>
          <w:sz w:val="21"/>
          <w:szCs w:val="20"/>
          <w:lang w:val="en-US" w:eastAsia="zh-CN" w:bidi="ar-SA"/>
        </w:rPr>
        <w:t>]　SN/T 5562.8-2023　海关实验室数字化管理规范</w:t>
      </w:r>
    </w:p>
    <w:p w14:paraId="1B9FDF09">
      <w:pPr>
        <w:keepNext w:val="0"/>
        <w:keepLines w:val="0"/>
        <w:pageBreakBefore w:val="0"/>
        <w:widowControl w:val="0"/>
        <w:kinsoku/>
        <w:wordWrap/>
        <w:overflowPunct/>
        <w:topLinePunct w:val="0"/>
        <w:autoSpaceDE/>
        <w:autoSpaceDN/>
        <w:bidi w:val="0"/>
        <w:adjustRightInd w:val="0"/>
        <w:snapToGrid w:val="0"/>
        <w:spacing w:line="240" w:lineRule="auto"/>
        <w:ind w:firstLine="426" w:firstLine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w:t>
      </w:r>
      <w:r>
        <w:rPr>
          <w:rFonts w:hint="eastAsia" w:ascii="Times New Roman" w:hAnsi="Times New Roman" w:eastAsia="宋体" w:cs="Times New Roman"/>
          <w:kern w:val="0"/>
          <w:sz w:val="21"/>
          <w:szCs w:val="20"/>
          <w:lang w:val="en-US" w:eastAsia="zh-CN" w:bidi="ar-SA"/>
        </w:rPr>
        <w:t>8</w:t>
      </w:r>
      <w:r>
        <w:rPr>
          <w:rFonts w:hint="default" w:ascii="Times New Roman" w:hAnsi="Times New Roman" w:eastAsia="宋体" w:cs="Times New Roman"/>
          <w:kern w:val="0"/>
          <w:sz w:val="21"/>
          <w:szCs w:val="20"/>
          <w:lang w:val="en-US" w:eastAsia="zh-CN" w:bidi="ar-SA"/>
        </w:rPr>
        <w:t>]　CNAS-CL01-G001:2024　检测和校准实验室能力认可准则的应用要求</w:t>
      </w:r>
    </w:p>
    <w:p w14:paraId="4567B3F0">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default" w:ascii="Times New Roman" w:hAnsi="Times New Roman" w:eastAsia="宋体" w:cs="Times New Roman"/>
          <w:kern w:val="0"/>
          <w:sz w:val="21"/>
          <w:szCs w:val="20"/>
          <w:lang w:val="en-US" w:eastAsia="zh-CN" w:bidi="ar-SA"/>
        </w:rPr>
      </w:pPr>
      <w:bookmarkStart w:id="231" w:name="BookMark8"/>
      <w:r>
        <w:rPr>
          <w:rFonts w:hint="eastAsia"/>
        </w:rPr>
        <w:drawing>
          <wp:inline distT="0" distB="0" distL="0" distR="0">
            <wp:extent cx="1485900" cy="317500"/>
            <wp:effectExtent l="0" t="0" r="3810" b="635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5">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231"/>
    </w:p>
    <w:p w14:paraId="1B15F395">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outlineLvl w:val="9"/>
        <w:rPr>
          <w:rFonts w:hint="default" w:ascii="Times New Roman" w:hAnsi="Times New Roman" w:eastAsia="宋体" w:cs="Times New Roman"/>
          <w:kern w:val="0"/>
          <w:sz w:val="21"/>
          <w:szCs w:val="20"/>
          <w:lang w:val="en-US" w:eastAsia="zh-CN" w:bidi="ar-SA"/>
        </w:rPr>
      </w:pPr>
    </w:p>
    <w:p w14:paraId="4C37A423">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outlineLvl w:val="9"/>
      </w:pPr>
    </w:p>
    <w:p w14:paraId="60FA8938">
      <w:pPr>
        <w:pStyle w:val="42"/>
        <w:adjustRightInd w:val="0"/>
        <w:snapToGrid w:val="0"/>
        <w:rPr>
          <w:rFonts w:hint="eastAsia" w:ascii="Times New Roman"/>
          <w:lang w:val="en-US" w:eastAsia="zh-CN"/>
        </w:rPr>
      </w:pPr>
    </w:p>
    <w:p w14:paraId="07CD6DF2">
      <w:pPr>
        <w:pStyle w:val="42"/>
        <w:adjustRightInd w:val="0"/>
        <w:snapToGrid w:val="0"/>
        <w:rPr>
          <w:rFonts w:hint="eastAsia" w:ascii="Times New Roman"/>
          <w:lang w:val="en-US" w:eastAsia="zh-CN"/>
        </w:rPr>
      </w:pPr>
    </w:p>
    <w:p w14:paraId="28BBDDCE">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outlineLvl w:val="9"/>
        <w:rPr>
          <w:rFonts w:hint="default"/>
          <w:lang w:val="en-US" w:eastAsia="zh-CN"/>
        </w:rPr>
      </w:pPr>
    </w:p>
    <w:p w14:paraId="0D912015">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outlineLvl w:val="9"/>
        <w:rPr>
          <w:rFonts w:hint="default" w:ascii="Times New Roman" w:hAnsi="Times New Roman" w:eastAsia="宋体" w:cs="Times New Roman"/>
          <w:kern w:val="0"/>
          <w:sz w:val="21"/>
          <w:szCs w:val="20"/>
          <w:lang w:val="en-US" w:eastAsia="zh-CN" w:bidi="ar-SA"/>
        </w:rPr>
      </w:pPr>
    </w:p>
    <w:sectPr>
      <w:pgSz w:w="11905" w:h="16838"/>
      <w:pgMar w:top="1417" w:right="1134" w:bottom="1417" w:left="1417" w:header="1417" w:footer="1134" w:gutter="0"/>
      <w:pgBorders>
        <w:top w:val="none" w:sz="0" w:space="0"/>
        <w:left w:val="none" w:sz="0" w:space="0"/>
        <w:bottom w:val="none" w:sz="0" w:space="0"/>
        <w:right w:val="none" w:sz="0" w:space="0"/>
      </w:pgBorders>
      <w:pgNumType w:fmt="decimal"/>
      <w:cols w:space="0" w:num="1"/>
      <w:titlePg/>
      <w:docGrid w:type="linesAndChars" w:linePitch="389" w:charSpace="7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方正仿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FD45F">
    <w:pPr>
      <w:pStyle w:val="14"/>
      <w:jc w:val="center"/>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BD80B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9BD80BE">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7E537650">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BF05A">
    <w:pPr>
      <w:pStyle w:val="14"/>
      <w:ind w:left="0" w:leftChars="0" w:right="0" w:rightChars="0" w:firstLine="0" w:firstLineChars="0"/>
      <w:jc w:val="left"/>
    </w:pPr>
    <w:r>
      <w:rPr>
        <w:sz w:val="18"/>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C0759">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09C0759">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B401A">
    <w:pPr>
      <w:pStyle w:val="14"/>
    </w:pPr>
    <w:r>
      <w:rPr>
        <w:sz w:val="18"/>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45FF8">
                          <w:pPr>
                            <w:pStyle w:val="1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8245FF8">
                    <w:pPr>
                      <w:pStyle w:val="14"/>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D282B">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BCB64A">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DBCB64A">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3575">
    <w:pPr>
      <w:pStyle w:val="14"/>
      <w:jc w:val="right"/>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8A841A">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68A841A">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828EB">
    <w:pPr>
      <w:pStyle w:val="14"/>
    </w:pPr>
    <w:r>
      <w:rPr>
        <w:sz w:val="18"/>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553DD">
                          <w:pPr>
                            <w:pStyle w:val="1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A8553DD">
                    <w:pPr>
                      <w:pStyle w:val="14"/>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73163">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44508A">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C44508A">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D5038">
    <w:pPr>
      <w:pStyle w:val="14"/>
      <w:jc w:val="left"/>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14450">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EC14450">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206F3">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E7A326">
                          <w:pPr>
                            <w:pStyle w:val="1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9E7A326">
                    <w:pPr>
                      <w:pStyle w:val="14"/>
                    </w:pPr>
                    <w:r>
                      <w:fldChar w:fldCharType="begin"/>
                    </w:r>
                    <w:r>
                      <w:instrText xml:space="preserve"> PAGE  \* MERGEFORMAT </w:instrText>
                    </w:r>
                    <w:r>
                      <w:fldChar w:fldCharType="separate"/>
                    </w:r>
                    <w:r>
                      <w:t>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57290">
    <w:pPr>
      <w:pStyle w:val="15"/>
      <w:jc w:val="right"/>
      <w:rPr>
        <w:rFonts w:ascii="黑体" w:hAnsi="黑体" w:eastAsia="黑体"/>
        <w:sz w:val="21"/>
        <w:szCs w:val="21"/>
      </w:rPr>
    </w:pPr>
    <w:r>
      <w:rPr>
        <w:rFonts w:ascii="黑体" w:hAnsi="黑体" w:eastAsia="黑体"/>
        <w:sz w:val="21"/>
        <w:szCs w:val="21"/>
      </w:rPr>
      <w:t>RB/T XXX-202X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3034C">
    <w:pPr>
      <w:pStyle w:val="15"/>
      <w:jc w:val="right"/>
    </w:pPr>
    <w:r>
      <w:rPr>
        <w:rFonts w:ascii="黑体" w:hAnsi="黑体" w:eastAsia="黑体"/>
        <w:sz w:val="21"/>
        <w:szCs w:val="21"/>
      </w:rPr>
      <w:t>RB/T XXX-202X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FBD52">
    <w:pPr>
      <w:pStyle w:val="15"/>
      <w:jc w:val="right"/>
      <w:rPr>
        <w:rFonts w:ascii="黑体" w:hAnsi="黑体" w:eastAsia="黑体"/>
        <w:sz w:val="21"/>
        <w:szCs w:val="21"/>
      </w:rPr>
    </w:pPr>
    <w:r>
      <w:rPr>
        <w:rFonts w:ascii="黑体" w:hAnsi="黑体" w:eastAsia="黑体"/>
        <w:sz w:val="21"/>
        <w:szCs w:val="21"/>
      </w:rPr>
      <w:t>RB/T XXX-202X</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C4AB7">
    <w:pPr>
      <w:pStyle w:val="15"/>
      <w:jc w:val="left"/>
    </w:pPr>
    <w:r>
      <w:rPr>
        <w:rFonts w:ascii="黑体" w:hAnsi="黑体" w:eastAsia="黑体"/>
        <w:sz w:val="21"/>
        <w:szCs w:val="21"/>
      </w:rPr>
      <w:t>RB/T XXX-202X</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1F36">
    <w:pPr>
      <w:pStyle w:val="15"/>
      <w:jc w:val="right"/>
    </w:pPr>
    <w:r>
      <w:rPr>
        <w:rFonts w:ascii="黑体" w:hAnsi="黑体" w:eastAsia="黑体"/>
        <w:sz w:val="21"/>
        <w:szCs w:val="21"/>
      </w:rPr>
      <w:t>RB/T XXX-202X</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6C6C2">
    <w:pPr>
      <w:pStyle w:val="15"/>
      <w:jc w:val="right"/>
      <w:rPr>
        <w:rFonts w:ascii="黑体" w:hAnsi="黑体" w:eastAsia="黑体"/>
        <w:sz w:val="21"/>
        <w:szCs w:val="21"/>
      </w:rPr>
    </w:pPr>
    <w:r>
      <w:rPr>
        <w:rFonts w:ascii="黑体" w:hAnsi="黑体" w:eastAsia="黑体"/>
        <w:sz w:val="21"/>
        <w:szCs w:val="21"/>
      </w:rPr>
      <w:t>RB/T XXX-202X</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ADDFC">
    <w:pPr>
      <w:pStyle w:val="15"/>
      <w:jc w:val="right"/>
    </w:pPr>
    <w:r>
      <w:rPr>
        <w:rFonts w:ascii="黑体" w:hAnsi="黑体" w:eastAsia="黑体"/>
        <w:sz w:val="21"/>
        <w:szCs w:val="21"/>
      </w:rPr>
      <w:t>RB/T XXX-202X</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88C81">
    <w:pPr>
      <w:pStyle w:val="15"/>
      <w:jc w:val="right"/>
    </w:pPr>
    <w:r>
      <w:rPr>
        <w:rFonts w:ascii="黑体" w:hAnsi="黑体" w:eastAsia="黑体"/>
        <w:sz w:val="21"/>
        <w:szCs w:val="21"/>
      </w:rPr>
      <w:t>RB/T XXX-202X</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F08F6">
    <w:pPr>
      <w:pStyle w:val="15"/>
      <w:jc w:val="right"/>
      <w:rPr>
        <w:rFonts w:ascii="黑体" w:hAnsi="黑体" w:eastAsia="黑体"/>
        <w:sz w:val="21"/>
        <w:szCs w:val="21"/>
      </w:rPr>
    </w:pPr>
    <w:r>
      <w:rPr>
        <w:rFonts w:ascii="黑体" w:hAnsi="黑体" w:eastAsia="黑体"/>
        <w:sz w:val="21"/>
        <w:szCs w:val="21"/>
      </w:rPr>
      <w:t>RB/T XXX-202X</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8C6D0">
    <w:pPr>
      <w:pStyle w:val="15"/>
      <w:jc w:val="left"/>
    </w:pPr>
    <w:r>
      <w:rPr>
        <w:rFonts w:ascii="黑体" w:hAnsi="黑体" w:eastAsia="黑体"/>
        <w:sz w:val="21"/>
        <w:szCs w:val="21"/>
      </w:rPr>
      <w:t>RB/T XXX-202X</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4EF3F">
    <w:pPr>
      <w:pStyle w:val="15"/>
      <w:jc w:val="right"/>
    </w:pPr>
    <w:r>
      <w:rPr>
        <w:rFonts w:ascii="黑体" w:hAnsi="黑体" w:eastAsia="黑体"/>
        <w:sz w:val="21"/>
        <w:szCs w:val="21"/>
      </w:rPr>
      <w:t>RB/T XXX-202X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mirrorMargins w:val="1"/>
  <w:bordersDoNotSurroundHeader w:val="0"/>
  <w:bordersDoNotSurroundFooter w:val="0"/>
  <w:documentProtection w:enforcement="0"/>
  <w:defaultTabStop w:val="420"/>
  <w:evenAndOddHeaders w:val="1"/>
  <w:drawingGridHorizontalSpacing w:val="142"/>
  <w:drawingGridVerticalSpacing w:val="19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iNWQxMzU2ODJmOTU1ZDhiMTgyYzQzNmEzZDkxYmQifQ=="/>
  </w:docVars>
  <w:rsids>
    <w:rsidRoot w:val="00172A27"/>
    <w:rsid w:val="00000E38"/>
    <w:rsid w:val="000017B1"/>
    <w:rsid w:val="00001E8B"/>
    <w:rsid w:val="00037621"/>
    <w:rsid w:val="00042F88"/>
    <w:rsid w:val="000635B5"/>
    <w:rsid w:val="00094AA2"/>
    <w:rsid w:val="00096916"/>
    <w:rsid w:val="000B386F"/>
    <w:rsid w:val="000B44D3"/>
    <w:rsid w:val="000B5982"/>
    <w:rsid w:val="000C1DCE"/>
    <w:rsid w:val="000C4974"/>
    <w:rsid w:val="00104516"/>
    <w:rsid w:val="0012317A"/>
    <w:rsid w:val="0012799B"/>
    <w:rsid w:val="00135D68"/>
    <w:rsid w:val="00147297"/>
    <w:rsid w:val="00147C3B"/>
    <w:rsid w:val="001661D6"/>
    <w:rsid w:val="00172A27"/>
    <w:rsid w:val="00193795"/>
    <w:rsid w:val="00194703"/>
    <w:rsid w:val="001B4F8E"/>
    <w:rsid w:val="001C4F01"/>
    <w:rsid w:val="001D5BBD"/>
    <w:rsid w:val="001E0C0D"/>
    <w:rsid w:val="00214D5D"/>
    <w:rsid w:val="00233FA0"/>
    <w:rsid w:val="00241B39"/>
    <w:rsid w:val="00242ACB"/>
    <w:rsid w:val="002469E0"/>
    <w:rsid w:val="00252756"/>
    <w:rsid w:val="00252B90"/>
    <w:rsid w:val="0028460A"/>
    <w:rsid w:val="00286C84"/>
    <w:rsid w:val="0028739E"/>
    <w:rsid w:val="002C76C9"/>
    <w:rsid w:val="00312F7D"/>
    <w:rsid w:val="003214EA"/>
    <w:rsid w:val="0033229B"/>
    <w:rsid w:val="003339A4"/>
    <w:rsid w:val="0033419E"/>
    <w:rsid w:val="0039408C"/>
    <w:rsid w:val="003A2620"/>
    <w:rsid w:val="003B6C5C"/>
    <w:rsid w:val="003C5826"/>
    <w:rsid w:val="003C6F8B"/>
    <w:rsid w:val="003C7066"/>
    <w:rsid w:val="003D43D6"/>
    <w:rsid w:val="003E09AE"/>
    <w:rsid w:val="003F14B2"/>
    <w:rsid w:val="003F6066"/>
    <w:rsid w:val="0040166E"/>
    <w:rsid w:val="00403B7B"/>
    <w:rsid w:val="00465FCA"/>
    <w:rsid w:val="004B1827"/>
    <w:rsid w:val="004B374C"/>
    <w:rsid w:val="004D60FF"/>
    <w:rsid w:val="004E105D"/>
    <w:rsid w:val="004F53A5"/>
    <w:rsid w:val="00510E3D"/>
    <w:rsid w:val="00590691"/>
    <w:rsid w:val="005938F8"/>
    <w:rsid w:val="005C73D5"/>
    <w:rsid w:val="00605CBA"/>
    <w:rsid w:val="00606902"/>
    <w:rsid w:val="00630D05"/>
    <w:rsid w:val="00633226"/>
    <w:rsid w:val="00643BAD"/>
    <w:rsid w:val="006825A4"/>
    <w:rsid w:val="006923BB"/>
    <w:rsid w:val="0069537C"/>
    <w:rsid w:val="006C4133"/>
    <w:rsid w:val="006E2C35"/>
    <w:rsid w:val="00704068"/>
    <w:rsid w:val="00711F4D"/>
    <w:rsid w:val="00721940"/>
    <w:rsid w:val="007240DC"/>
    <w:rsid w:val="00742735"/>
    <w:rsid w:val="00764EB1"/>
    <w:rsid w:val="00767939"/>
    <w:rsid w:val="00767C43"/>
    <w:rsid w:val="00773C38"/>
    <w:rsid w:val="00775693"/>
    <w:rsid w:val="0079603E"/>
    <w:rsid w:val="007A1059"/>
    <w:rsid w:val="007B7E3A"/>
    <w:rsid w:val="007C0F2D"/>
    <w:rsid w:val="007F1310"/>
    <w:rsid w:val="008111BE"/>
    <w:rsid w:val="00814AC6"/>
    <w:rsid w:val="0087549C"/>
    <w:rsid w:val="00881620"/>
    <w:rsid w:val="00886D9C"/>
    <w:rsid w:val="008B170D"/>
    <w:rsid w:val="008B5290"/>
    <w:rsid w:val="008D3D7F"/>
    <w:rsid w:val="008F112E"/>
    <w:rsid w:val="00917CF5"/>
    <w:rsid w:val="00925B91"/>
    <w:rsid w:val="009400C8"/>
    <w:rsid w:val="00945302"/>
    <w:rsid w:val="009567A0"/>
    <w:rsid w:val="009B2823"/>
    <w:rsid w:val="009D381B"/>
    <w:rsid w:val="009E58DE"/>
    <w:rsid w:val="009F01AE"/>
    <w:rsid w:val="009F429A"/>
    <w:rsid w:val="009F5009"/>
    <w:rsid w:val="00A02824"/>
    <w:rsid w:val="00A41932"/>
    <w:rsid w:val="00A72C53"/>
    <w:rsid w:val="00A7511B"/>
    <w:rsid w:val="00AA3C7D"/>
    <w:rsid w:val="00AB7CCA"/>
    <w:rsid w:val="00AD22F7"/>
    <w:rsid w:val="00B1410A"/>
    <w:rsid w:val="00B17FB4"/>
    <w:rsid w:val="00B36BAF"/>
    <w:rsid w:val="00B42AF1"/>
    <w:rsid w:val="00B6372F"/>
    <w:rsid w:val="00BA4C2E"/>
    <w:rsid w:val="00BB18D8"/>
    <w:rsid w:val="00BC49FE"/>
    <w:rsid w:val="00BD25DE"/>
    <w:rsid w:val="00BE00B3"/>
    <w:rsid w:val="00C2253C"/>
    <w:rsid w:val="00C34931"/>
    <w:rsid w:val="00C360BF"/>
    <w:rsid w:val="00C564AF"/>
    <w:rsid w:val="00C73076"/>
    <w:rsid w:val="00CA1070"/>
    <w:rsid w:val="00CE4790"/>
    <w:rsid w:val="00CF02AB"/>
    <w:rsid w:val="00D3275C"/>
    <w:rsid w:val="00D42A9D"/>
    <w:rsid w:val="00D50A71"/>
    <w:rsid w:val="00D644B2"/>
    <w:rsid w:val="00DA0E7C"/>
    <w:rsid w:val="00DB0E2D"/>
    <w:rsid w:val="00DC1634"/>
    <w:rsid w:val="00E26F33"/>
    <w:rsid w:val="00E27836"/>
    <w:rsid w:val="00E27B90"/>
    <w:rsid w:val="00E3193C"/>
    <w:rsid w:val="00E4375A"/>
    <w:rsid w:val="00E7725B"/>
    <w:rsid w:val="00E87679"/>
    <w:rsid w:val="00EA1459"/>
    <w:rsid w:val="00EA2911"/>
    <w:rsid w:val="00EA2F6C"/>
    <w:rsid w:val="00EC3135"/>
    <w:rsid w:val="00ED6A4C"/>
    <w:rsid w:val="00F04462"/>
    <w:rsid w:val="00F65123"/>
    <w:rsid w:val="00F70CA3"/>
    <w:rsid w:val="00FB429B"/>
    <w:rsid w:val="00FB70A5"/>
    <w:rsid w:val="00FE1E5B"/>
    <w:rsid w:val="00FE7B94"/>
    <w:rsid w:val="012E0C68"/>
    <w:rsid w:val="01311D17"/>
    <w:rsid w:val="01655E65"/>
    <w:rsid w:val="017165B7"/>
    <w:rsid w:val="0178616B"/>
    <w:rsid w:val="018A58CB"/>
    <w:rsid w:val="019B32C6"/>
    <w:rsid w:val="01A941FD"/>
    <w:rsid w:val="01C56903"/>
    <w:rsid w:val="01CA5CC8"/>
    <w:rsid w:val="01D6466C"/>
    <w:rsid w:val="01D83930"/>
    <w:rsid w:val="01FD128E"/>
    <w:rsid w:val="020D62C8"/>
    <w:rsid w:val="02301FCF"/>
    <w:rsid w:val="0237193E"/>
    <w:rsid w:val="02432D70"/>
    <w:rsid w:val="024535A0"/>
    <w:rsid w:val="02480287"/>
    <w:rsid w:val="024E0E9C"/>
    <w:rsid w:val="027609F7"/>
    <w:rsid w:val="027754FB"/>
    <w:rsid w:val="02AC36BD"/>
    <w:rsid w:val="02B14749"/>
    <w:rsid w:val="02BA3F8E"/>
    <w:rsid w:val="02BD625D"/>
    <w:rsid w:val="02C80459"/>
    <w:rsid w:val="02E1227E"/>
    <w:rsid w:val="02F0308E"/>
    <w:rsid w:val="03166728"/>
    <w:rsid w:val="032F3907"/>
    <w:rsid w:val="03467873"/>
    <w:rsid w:val="0359313A"/>
    <w:rsid w:val="035E2B6B"/>
    <w:rsid w:val="03716D43"/>
    <w:rsid w:val="03824AAC"/>
    <w:rsid w:val="03830824"/>
    <w:rsid w:val="0391721B"/>
    <w:rsid w:val="039E1D85"/>
    <w:rsid w:val="039E740C"/>
    <w:rsid w:val="03A85549"/>
    <w:rsid w:val="03B741FF"/>
    <w:rsid w:val="03CE1211"/>
    <w:rsid w:val="03DF1186"/>
    <w:rsid w:val="03E17E35"/>
    <w:rsid w:val="04183D58"/>
    <w:rsid w:val="042C2C6A"/>
    <w:rsid w:val="043833BC"/>
    <w:rsid w:val="043B77E0"/>
    <w:rsid w:val="04623357"/>
    <w:rsid w:val="04626EF8"/>
    <w:rsid w:val="04640655"/>
    <w:rsid w:val="04930D28"/>
    <w:rsid w:val="049C7DEF"/>
    <w:rsid w:val="04C9670A"/>
    <w:rsid w:val="054E7C38"/>
    <w:rsid w:val="05C92AA2"/>
    <w:rsid w:val="05D76F32"/>
    <w:rsid w:val="05E41A4E"/>
    <w:rsid w:val="05EF2A4C"/>
    <w:rsid w:val="060B4780"/>
    <w:rsid w:val="06225A94"/>
    <w:rsid w:val="062416F2"/>
    <w:rsid w:val="0634306A"/>
    <w:rsid w:val="065247C8"/>
    <w:rsid w:val="0687062B"/>
    <w:rsid w:val="06D078BB"/>
    <w:rsid w:val="06D118A6"/>
    <w:rsid w:val="06E415DA"/>
    <w:rsid w:val="071A4CC3"/>
    <w:rsid w:val="073C7E17"/>
    <w:rsid w:val="073E7C3F"/>
    <w:rsid w:val="074327A4"/>
    <w:rsid w:val="07754928"/>
    <w:rsid w:val="07801A15"/>
    <w:rsid w:val="078855D2"/>
    <w:rsid w:val="07886409"/>
    <w:rsid w:val="078E5265"/>
    <w:rsid w:val="07B0770E"/>
    <w:rsid w:val="07E54264"/>
    <w:rsid w:val="07FB6BDB"/>
    <w:rsid w:val="08064057"/>
    <w:rsid w:val="08160E85"/>
    <w:rsid w:val="08514A4D"/>
    <w:rsid w:val="087C489B"/>
    <w:rsid w:val="08935065"/>
    <w:rsid w:val="090B7DC7"/>
    <w:rsid w:val="092115A9"/>
    <w:rsid w:val="09411562"/>
    <w:rsid w:val="095F3199"/>
    <w:rsid w:val="09647792"/>
    <w:rsid w:val="096D573C"/>
    <w:rsid w:val="097153B4"/>
    <w:rsid w:val="09845259"/>
    <w:rsid w:val="09867888"/>
    <w:rsid w:val="098A2126"/>
    <w:rsid w:val="099E3CC2"/>
    <w:rsid w:val="09C01FBF"/>
    <w:rsid w:val="09C83AE6"/>
    <w:rsid w:val="09EB0ED1"/>
    <w:rsid w:val="0A072FCA"/>
    <w:rsid w:val="0A347102"/>
    <w:rsid w:val="0A7E2114"/>
    <w:rsid w:val="0A8455AD"/>
    <w:rsid w:val="0A851A8E"/>
    <w:rsid w:val="0A887EEE"/>
    <w:rsid w:val="0ABE015E"/>
    <w:rsid w:val="0AC858A8"/>
    <w:rsid w:val="0B0C10FF"/>
    <w:rsid w:val="0B105BB6"/>
    <w:rsid w:val="0B3C6076"/>
    <w:rsid w:val="0B505490"/>
    <w:rsid w:val="0B7C02B4"/>
    <w:rsid w:val="0B7F028F"/>
    <w:rsid w:val="0B8C1377"/>
    <w:rsid w:val="0B8E420A"/>
    <w:rsid w:val="0BF227C0"/>
    <w:rsid w:val="0BFC73C5"/>
    <w:rsid w:val="0C083FBC"/>
    <w:rsid w:val="0C1F7E75"/>
    <w:rsid w:val="0C214ECA"/>
    <w:rsid w:val="0C324B95"/>
    <w:rsid w:val="0C4D2CB1"/>
    <w:rsid w:val="0C6F542E"/>
    <w:rsid w:val="0C7C4062"/>
    <w:rsid w:val="0C980C60"/>
    <w:rsid w:val="0CA359E0"/>
    <w:rsid w:val="0CCB17FD"/>
    <w:rsid w:val="0D10175C"/>
    <w:rsid w:val="0D152D17"/>
    <w:rsid w:val="0D1B457C"/>
    <w:rsid w:val="0D1C4718"/>
    <w:rsid w:val="0D3460CF"/>
    <w:rsid w:val="0D6214AA"/>
    <w:rsid w:val="0D727575"/>
    <w:rsid w:val="0DA10224"/>
    <w:rsid w:val="0DA87B7E"/>
    <w:rsid w:val="0DBA12E6"/>
    <w:rsid w:val="0DC0318D"/>
    <w:rsid w:val="0DC078B2"/>
    <w:rsid w:val="0DCD726B"/>
    <w:rsid w:val="0DD6470C"/>
    <w:rsid w:val="0DE0138C"/>
    <w:rsid w:val="0E4137B5"/>
    <w:rsid w:val="0E685FB2"/>
    <w:rsid w:val="0E83792A"/>
    <w:rsid w:val="0E8F4521"/>
    <w:rsid w:val="0EBE1DF1"/>
    <w:rsid w:val="0ECE3D40"/>
    <w:rsid w:val="0F1551DF"/>
    <w:rsid w:val="0F182F2B"/>
    <w:rsid w:val="0F297A06"/>
    <w:rsid w:val="0F694D72"/>
    <w:rsid w:val="0F7F4231"/>
    <w:rsid w:val="0F9A4F2B"/>
    <w:rsid w:val="0FA551A3"/>
    <w:rsid w:val="0FAA5503"/>
    <w:rsid w:val="0FBB7EF5"/>
    <w:rsid w:val="0FC44BCF"/>
    <w:rsid w:val="0FE85924"/>
    <w:rsid w:val="10066A65"/>
    <w:rsid w:val="10593038"/>
    <w:rsid w:val="106612B1"/>
    <w:rsid w:val="106C7225"/>
    <w:rsid w:val="108D683E"/>
    <w:rsid w:val="10A06571"/>
    <w:rsid w:val="10AC13BA"/>
    <w:rsid w:val="10C76AC0"/>
    <w:rsid w:val="10ED4DE5"/>
    <w:rsid w:val="112F5FD6"/>
    <w:rsid w:val="11572DE6"/>
    <w:rsid w:val="116274D0"/>
    <w:rsid w:val="11A6405B"/>
    <w:rsid w:val="11A8242F"/>
    <w:rsid w:val="11CA4E31"/>
    <w:rsid w:val="11DA5AB3"/>
    <w:rsid w:val="11F12DFD"/>
    <w:rsid w:val="12030B40"/>
    <w:rsid w:val="12303925"/>
    <w:rsid w:val="123C41D5"/>
    <w:rsid w:val="123F625E"/>
    <w:rsid w:val="125910CE"/>
    <w:rsid w:val="12DF6FC3"/>
    <w:rsid w:val="12EA61CA"/>
    <w:rsid w:val="1307051E"/>
    <w:rsid w:val="13127644"/>
    <w:rsid w:val="131842ED"/>
    <w:rsid w:val="132606B1"/>
    <w:rsid w:val="134A6C68"/>
    <w:rsid w:val="135D7F8A"/>
    <w:rsid w:val="13783962"/>
    <w:rsid w:val="1382150A"/>
    <w:rsid w:val="13A26F0C"/>
    <w:rsid w:val="13A445CA"/>
    <w:rsid w:val="13D22765"/>
    <w:rsid w:val="13D4666B"/>
    <w:rsid w:val="13D6674E"/>
    <w:rsid w:val="13DB3D64"/>
    <w:rsid w:val="13EA1C99"/>
    <w:rsid w:val="13EC20ED"/>
    <w:rsid w:val="13EE5846"/>
    <w:rsid w:val="144277FC"/>
    <w:rsid w:val="14524026"/>
    <w:rsid w:val="145305CA"/>
    <w:rsid w:val="1467647C"/>
    <w:rsid w:val="14CF1935"/>
    <w:rsid w:val="14D972C4"/>
    <w:rsid w:val="14EA425F"/>
    <w:rsid w:val="150C68CB"/>
    <w:rsid w:val="15306886"/>
    <w:rsid w:val="1585667E"/>
    <w:rsid w:val="15936D9A"/>
    <w:rsid w:val="159728D5"/>
    <w:rsid w:val="15C8618D"/>
    <w:rsid w:val="15EE4223"/>
    <w:rsid w:val="166314AD"/>
    <w:rsid w:val="16663117"/>
    <w:rsid w:val="166A0E44"/>
    <w:rsid w:val="166B77C4"/>
    <w:rsid w:val="16DA0303"/>
    <w:rsid w:val="16E96798"/>
    <w:rsid w:val="171B7CC2"/>
    <w:rsid w:val="1720040C"/>
    <w:rsid w:val="172F68A1"/>
    <w:rsid w:val="175E7186"/>
    <w:rsid w:val="17815347"/>
    <w:rsid w:val="17830659"/>
    <w:rsid w:val="17872239"/>
    <w:rsid w:val="17CF1961"/>
    <w:rsid w:val="17D23B01"/>
    <w:rsid w:val="17D63F7F"/>
    <w:rsid w:val="17F1073E"/>
    <w:rsid w:val="17F33351"/>
    <w:rsid w:val="181E3044"/>
    <w:rsid w:val="1854380B"/>
    <w:rsid w:val="18554231"/>
    <w:rsid w:val="18676F22"/>
    <w:rsid w:val="18707630"/>
    <w:rsid w:val="187E150E"/>
    <w:rsid w:val="18851DD9"/>
    <w:rsid w:val="18A90335"/>
    <w:rsid w:val="18C80D5B"/>
    <w:rsid w:val="18D57558"/>
    <w:rsid w:val="18ED07C2"/>
    <w:rsid w:val="18ED2889"/>
    <w:rsid w:val="18F07994"/>
    <w:rsid w:val="18F2402A"/>
    <w:rsid w:val="19047235"/>
    <w:rsid w:val="19056169"/>
    <w:rsid w:val="19134F44"/>
    <w:rsid w:val="195C14A3"/>
    <w:rsid w:val="19630A84"/>
    <w:rsid w:val="19853F2F"/>
    <w:rsid w:val="199C7AF2"/>
    <w:rsid w:val="19E62E60"/>
    <w:rsid w:val="1A2008D9"/>
    <w:rsid w:val="1A473F02"/>
    <w:rsid w:val="1A475CB0"/>
    <w:rsid w:val="1A5D0A17"/>
    <w:rsid w:val="1A6B6059"/>
    <w:rsid w:val="1A710F7F"/>
    <w:rsid w:val="1A754E3D"/>
    <w:rsid w:val="1A9D69B7"/>
    <w:rsid w:val="1AB31597"/>
    <w:rsid w:val="1AC67C55"/>
    <w:rsid w:val="1AD70716"/>
    <w:rsid w:val="1AFD138A"/>
    <w:rsid w:val="1B067919"/>
    <w:rsid w:val="1B3F227B"/>
    <w:rsid w:val="1B53275A"/>
    <w:rsid w:val="1B5E193D"/>
    <w:rsid w:val="1B6B52CB"/>
    <w:rsid w:val="1B7E67BB"/>
    <w:rsid w:val="1B9C4226"/>
    <w:rsid w:val="1BB523E7"/>
    <w:rsid w:val="1BCC0B62"/>
    <w:rsid w:val="1BE834C2"/>
    <w:rsid w:val="1C0512AB"/>
    <w:rsid w:val="1C071B9A"/>
    <w:rsid w:val="1C19367C"/>
    <w:rsid w:val="1C26279A"/>
    <w:rsid w:val="1C2D39F1"/>
    <w:rsid w:val="1C2F4C4D"/>
    <w:rsid w:val="1C4A1BA5"/>
    <w:rsid w:val="1C8B27CB"/>
    <w:rsid w:val="1CAA18D3"/>
    <w:rsid w:val="1CAC5C9B"/>
    <w:rsid w:val="1CDC52AD"/>
    <w:rsid w:val="1CDD28FB"/>
    <w:rsid w:val="1D206929"/>
    <w:rsid w:val="1D330F37"/>
    <w:rsid w:val="1D3764AF"/>
    <w:rsid w:val="1D3949D8"/>
    <w:rsid w:val="1D4A2307"/>
    <w:rsid w:val="1D7045E5"/>
    <w:rsid w:val="1D8F3177"/>
    <w:rsid w:val="1DA4568B"/>
    <w:rsid w:val="1DCA1E7F"/>
    <w:rsid w:val="1DD97567"/>
    <w:rsid w:val="1E1B5C34"/>
    <w:rsid w:val="1E200CF1"/>
    <w:rsid w:val="1E28541F"/>
    <w:rsid w:val="1E2F53D8"/>
    <w:rsid w:val="1E477E6D"/>
    <w:rsid w:val="1E672DC4"/>
    <w:rsid w:val="1E8B4988"/>
    <w:rsid w:val="1E962F78"/>
    <w:rsid w:val="1E982132"/>
    <w:rsid w:val="1E995A04"/>
    <w:rsid w:val="1E9E60BA"/>
    <w:rsid w:val="1EC065B3"/>
    <w:rsid w:val="1EC8503C"/>
    <w:rsid w:val="1EE672AD"/>
    <w:rsid w:val="1EFB2D8C"/>
    <w:rsid w:val="1F262B56"/>
    <w:rsid w:val="1F2E35AE"/>
    <w:rsid w:val="1F3F789D"/>
    <w:rsid w:val="1F4E188E"/>
    <w:rsid w:val="1F575750"/>
    <w:rsid w:val="1F615A66"/>
    <w:rsid w:val="1F6B4575"/>
    <w:rsid w:val="1F9C1535"/>
    <w:rsid w:val="1F9C6A9E"/>
    <w:rsid w:val="1FB77434"/>
    <w:rsid w:val="1FD60202"/>
    <w:rsid w:val="1FE8703A"/>
    <w:rsid w:val="1FEB3C1C"/>
    <w:rsid w:val="1FEB532F"/>
    <w:rsid w:val="1FFD5E78"/>
    <w:rsid w:val="20045238"/>
    <w:rsid w:val="20242FBE"/>
    <w:rsid w:val="20392EF3"/>
    <w:rsid w:val="204C04C4"/>
    <w:rsid w:val="205C76F7"/>
    <w:rsid w:val="20756094"/>
    <w:rsid w:val="20816D41"/>
    <w:rsid w:val="208C266E"/>
    <w:rsid w:val="20A101C6"/>
    <w:rsid w:val="20C4005A"/>
    <w:rsid w:val="20CB3B33"/>
    <w:rsid w:val="20DF7624"/>
    <w:rsid w:val="212D27FA"/>
    <w:rsid w:val="213D79D3"/>
    <w:rsid w:val="2179078B"/>
    <w:rsid w:val="217F6039"/>
    <w:rsid w:val="2197751D"/>
    <w:rsid w:val="21A12B65"/>
    <w:rsid w:val="21BF0821"/>
    <w:rsid w:val="21CB5418"/>
    <w:rsid w:val="21D437C2"/>
    <w:rsid w:val="21FE134A"/>
    <w:rsid w:val="222D525D"/>
    <w:rsid w:val="223C1E72"/>
    <w:rsid w:val="223E723A"/>
    <w:rsid w:val="225538BD"/>
    <w:rsid w:val="226D0C9E"/>
    <w:rsid w:val="227B5949"/>
    <w:rsid w:val="227C6D13"/>
    <w:rsid w:val="22A37DC0"/>
    <w:rsid w:val="22BE570A"/>
    <w:rsid w:val="22D327D6"/>
    <w:rsid w:val="22D57096"/>
    <w:rsid w:val="22DF016E"/>
    <w:rsid w:val="22EE4DD5"/>
    <w:rsid w:val="23463175"/>
    <w:rsid w:val="235D6217"/>
    <w:rsid w:val="238D1D74"/>
    <w:rsid w:val="23B259A7"/>
    <w:rsid w:val="23BF2D5B"/>
    <w:rsid w:val="23D42CAA"/>
    <w:rsid w:val="23DF7CE9"/>
    <w:rsid w:val="23F32401"/>
    <w:rsid w:val="243223F4"/>
    <w:rsid w:val="24420532"/>
    <w:rsid w:val="248224CC"/>
    <w:rsid w:val="24BD2851"/>
    <w:rsid w:val="24D76345"/>
    <w:rsid w:val="2505205B"/>
    <w:rsid w:val="254259F1"/>
    <w:rsid w:val="25482DE2"/>
    <w:rsid w:val="254855C1"/>
    <w:rsid w:val="256C0CC0"/>
    <w:rsid w:val="256C2768"/>
    <w:rsid w:val="258714A8"/>
    <w:rsid w:val="258A7E7F"/>
    <w:rsid w:val="25B12B77"/>
    <w:rsid w:val="25BF6857"/>
    <w:rsid w:val="25D1056F"/>
    <w:rsid w:val="260333D3"/>
    <w:rsid w:val="261679B6"/>
    <w:rsid w:val="263E2251"/>
    <w:rsid w:val="264B4D7A"/>
    <w:rsid w:val="26584C12"/>
    <w:rsid w:val="266A6957"/>
    <w:rsid w:val="26765F00"/>
    <w:rsid w:val="26804A23"/>
    <w:rsid w:val="268B1032"/>
    <w:rsid w:val="268E774D"/>
    <w:rsid w:val="269145A9"/>
    <w:rsid w:val="26924756"/>
    <w:rsid w:val="269F5EA5"/>
    <w:rsid w:val="26A76454"/>
    <w:rsid w:val="26B25501"/>
    <w:rsid w:val="26C04ADB"/>
    <w:rsid w:val="26E15B99"/>
    <w:rsid w:val="26E478BD"/>
    <w:rsid w:val="26EA0261"/>
    <w:rsid w:val="26F4179D"/>
    <w:rsid w:val="27047124"/>
    <w:rsid w:val="270A69E3"/>
    <w:rsid w:val="27170666"/>
    <w:rsid w:val="272E2E7D"/>
    <w:rsid w:val="273B4DEE"/>
    <w:rsid w:val="27424A9C"/>
    <w:rsid w:val="27554AA7"/>
    <w:rsid w:val="27601E26"/>
    <w:rsid w:val="276C144B"/>
    <w:rsid w:val="276D77B5"/>
    <w:rsid w:val="278D4CC6"/>
    <w:rsid w:val="2792742F"/>
    <w:rsid w:val="27B1535F"/>
    <w:rsid w:val="27CB6172"/>
    <w:rsid w:val="27D52B4D"/>
    <w:rsid w:val="28123DA1"/>
    <w:rsid w:val="28173165"/>
    <w:rsid w:val="281C077C"/>
    <w:rsid w:val="282B4E63"/>
    <w:rsid w:val="28377B38"/>
    <w:rsid w:val="28447CD2"/>
    <w:rsid w:val="28620159"/>
    <w:rsid w:val="28697739"/>
    <w:rsid w:val="288E2FE8"/>
    <w:rsid w:val="28996270"/>
    <w:rsid w:val="28B5297E"/>
    <w:rsid w:val="28BA2AB3"/>
    <w:rsid w:val="28C130D1"/>
    <w:rsid w:val="28C6239E"/>
    <w:rsid w:val="28F33BD2"/>
    <w:rsid w:val="29114058"/>
    <w:rsid w:val="291D33A7"/>
    <w:rsid w:val="29336DCD"/>
    <w:rsid w:val="297840D8"/>
    <w:rsid w:val="29AB614E"/>
    <w:rsid w:val="29E355BE"/>
    <w:rsid w:val="29F37D72"/>
    <w:rsid w:val="29F63D9A"/>
    <w:rsid w:val="2A0E0598"/>
    <w:rsid w:val="2A5B5071"/>
    <w:rsid w:val="2A9E191C"/>
    <w:rsid w:val="2ADC67E9"/>
    <w:rsid w:val="2AE35581"/>
    <w:rsid w:val="2B1C3B54"/>
    <w:rsid w:val="2B397D15"/>
    <w:rsid w:val="2B3E717F"/>
    <w:rsid w:val="2B48104B"/>
    <w:rsid w:val="2B5F7D93"/>
    <w:rsid w:val="2B7523E8"/>
    <w:rsid w:val="2B801021"/>
    <w:rsid w:val="2B8A00F2"/>
    <w:rsid w:val="2BAA0794"/>
    <w:rsid w:val="2BE07D12"/>
    <w:rsid w:val="2BF63C8E"/>
    <w:rsid w:val="2BF81A1A"/>
    <w:rsid w:val="2C025EDA"/>
    <w:rsid w:val="2C0B53BD"/>
    <w:rsid w:val="2C0D35BD"/>
    <w:rsid w:val="2C143FB6"/>
    <w:rsid w:val="2C1852FF"/>
    <w:rsid w:val="2C2E6CCF"/>
    <w:rsid w:val="2C2F2837"/>
    <w:rsid w:val="2C5C383D"/>
    <w:rsid w:val="2C637C0B"/>
    <w:rsid w:val="2C67441F"/>
    <w:rsid w:val="2C9D1056"/>
    <w:rsid w:val="2CB2345D"/>
    <w:rsid w:val="2CC82C80"/>
    <w:rsid w:val="2CD77367"/>
    <w:rsid w:val="2D6F134E"/>
    <w:rsid w:val="2D6F4ACB"/>
    <w:rsid w:val="2D984D48"/>
    <w:rsid w:val="2D9A13E9"/>
    <w:rsid w:val="2DA74F8B"/>
    <w:rsid w:val="2DB42757"/>
    <w:rsid w:val="2DCF003E"/>
    <w:rsid w:val="2DD02EC4"/>
    <w:rsid w:val="2DD6761F"/>
    <w:rsid w:val="2DDD6BFF"/>
    <w:rsid w:val="2DEF2B66"/>
    <w:rsid w:val="2DFD104F"/>
    <w:rsid w:val="2E1660EB"/>
    <w:rsid w:val="2E2337E8"/>
    <w:rsid w:val="2E4D60C6"/>
    <w:rsid w:val="2E6025FE"/>
    <w:rsid w:val="2E615CCD"/>
    <w:rsid w:val="2E6B4A1E"/>
    <w:rsid w:val="2E9A689E"/>
    <w:rsid w:val="2EA96AE1"/>
    <w:rsid w:val="2EBD004C"/>
    <w:rsid w:val="2EE30245"/>
    <w:rsid w:val="2EF31F8B"/>
    <w:rsid w:val="2F1403FE"/>
    <w:rsid w:val="2F1A353B"/>
    <w:rsid w:val="2F302068"/>
    <w:rsid w:val="2F3B3ADA"/>
    <w:rsid w:val="2F3E7229"/>
    <w:rsid w:val="2F4022F6"/>
    <w:rsid w:val="2F4277A9"/>
    <w:rsid w:val="2F6F1AD9"/>
    <w:rsid w:val="2FC555B6"/>
    <w:rsid w:val="2FE83639"/>
    <w:rsid w:val="2FFD7709"/>
    <w:rsid w:val="30152D72"/>
    <w:rsid w:val="3017148C"/>
    <w:rsid w:val="30226B4B"/>
    <w:rsid w:val="30241C05"/>
    <w:rsid w:val="303E19F1"/>
    <w:rsid w:val="30446814"/>
    <w:rsid w:val="304719C6"/>
    <w:rsid w:val="30595131"/>
    <w:rsid w:val="307750E9"/>
    <w:rsid w:val="308032FF"/>
    <w:rsid w:val="309E128C"/>
    <w:rsid w:val="30BF3D2C"/>
    <w:rsid w:val="30CA49F4"/>
    <w:rsid w:val="30D32EF3"/>
    <w:rsid w:val="30FF5FA4"/>
    <w:rsid w:val="3119754C"/>
    <w:rsid w:val="31307046"/>
    <w:rsid w:val="313A13FC"/>
    <w:rsid w:val="316B0828"/>
    <w:rsid w:val="31723B02"/>
    <w:rsid w:val="31995F43"/>
    <w:rsid w:val="31C83722"/>
    <w:rsid w:val="31DD7894"/>
    <w:rsid w:val="31F938DC"/>
    <w:rsid w:val="31FD2105"/>
    <w:rsid w:val="320C2812"/>
    <w:rsid w:val="32342B66"/>
    <w:rsid w:val="324F79A0"/>
    <w:rsid w:val="326C402C"/>
    <w:rsid w:val="328533C1"/>
    <w:rsid w:val="32BF4F38"/>
    <w:rsid w:val="32C0264B"/>
    <w:rsid w:val="32D87995"/>
    <w:rsid w:val="32DD5678"/>
    <w:rsid w:val="32E969A4"/>
    <w:rsid w:val="32F707CD"/>
    <w:rsid w:val="331B33F1"/>
    <w:rsid w:val="333252F7"/>
    <w:rsid w:val="3341553A"/>
    <w:rsid w:val="335A484E"/>
    <w:rsid w:val="335F4F75"/>
    <w:rsid w:val="33723946"/>
    <w:rsid w:val="33881F42"/>
    <w:rsid w:val="338D4C23"/>
    <w:rsid w:val="33B50C2D"/>
    <w:rsid w:val="33BA6577"/>
    <w:rsid w:val="33C05785"/>
    <w:rsid w:val="33DF6B01"/>
    <w:rsid w:val="33E17AAA"/>
    <w:rsid w:val="33EB7D4C"/>
    <w:rsid w:val="33EF4F96"/>
    <w:rsid w:val="34000F51"/>
    <w:rsid w:val="341669C7"/>
    <w:rsid w:val="341744ED"/>
    <w:rsid w:val="341F50E7"/>
    <w:rsid w:val="342049E9"/>
    <w:rsid w:val="34382116"/>
    <w:rsid w:val="346314E0"/>
    <w:rsid w:val="34694556"/>
    <w:rsid w:val="348C0A37"/>
    <w:rsid w:val="34AB3F7E"/>
    <w:rsid w:val="35215623"/>
    <w:rsid w:val="3538471B"/>
    <w:rsid w:val="353D2096"/>
    <w:rsid w:val="35502345"/>
    <w:rsid w:val="355D14AF"/>
    <w:rsid w:val="3572071A"/>
    <w:rsid w:val="35762B0C"/>
    <w:rsid w:val="35BA3391"/>
    <w:rsid w:val="35F51DDF"/>
    <w:rsid w:val="3605661F"/>
    <w:rsid w:val="361507CA"/>
    <w:rsid w:val="36547839"/>
    <w:rsid w:val="36566C1F"/>
    <w:rsid w:val="36590DED"/>
    <w:rsid w:val="365C49EA"/>
    <w:rsid w:val="369E6BCB"/>
    <w:rsid w:val="36F20C1C"/>
    <w:rsid w:val="36F56D67"/>
    <w:rsid w:val="36FC6348"/>
    <w:rsid w:val="370A7C4E"/>
    <w:rsid w:val="3737363B"/>
    <w:rsid w:val="373D426B"/>
    <w:rsid w:val="375F05B1"/>
    <w:rsid w:val="37AB5678"/>
    <w:rsid w:val="37AE21C9"/>
    <w:rsid w:val="37DA5EAF"/>
    <w:rsid w:val="37F039D3"/>
    <w:rsid w:val="37F25C81"/>
    <w:rsid w:val="37F7266B"/>
    <w:rsid w:val="3810372D"/>
    <w:rsid w:val="382611A3"/>
    <w:rsid w:val="38262F51"/>
    <w:rsid w:val="38321436"/>
    <w:rsid w:val="386646D6"/>
    <w:rsid w:val="386B5ADB"/>
    <w:rsid w:val="38762532"/>
    <w:rsid w:val="388163D9"/>
    <w:rsid w:val="38961E84"/>
    <w:rsid w:val="38B51168"/>
    <w:rsid w:val="390B3E87"/>
    <w:rsid w:val="394426BC"/>
    <w:rsid w:val="39A22AAB"/>
    <w:rsid w:val="39AD08EF"/>
    <w:rsid w:val="39B42EE0"/>
    <w:rsid w:val="39F21346"/>
    <w:rsid w:val="3A0F032F"/>
    <w:rsid w:val="3A50783A"/>
    <w:rsid w:val="3A543DA5"/>
    <w:rsid w:val="3A671E5E"/>
    <w:rsid w:val="3A6F1121"/>
    <w:rsid w:val="3A7A7584"/>
    <w:rsid w:val="3A8D5509"/>
    <w:rsid w:val="3A9A6DC3"/>
    <w:rsid w:val="3AA133CD"/>
    <w:rsid w:val="3AA9083F"/>
    <w:rsid w:val="3B1B5004"/>
    <w:rsid w:val="3B251BE5"/>
    <w:rsid w:val="3B2B161D"/>
    <w:rsid w:val="3B2D279F"/>
    <w:rsid w:val="3B36794F"/>
    <w:rsid w:val="3B4E6A46"/>
    <w:rsid w:val="3B772DEA"/>
    <w:rsid w:val="3B8561E0"/>
    <w:rsid w:val="3B8620A7"/>
    <w:rsid w:val="3B980C9E"/>
    <w:rsid w:val="3B9F00CF"/>
    <w:rsid w:val="3BAE657D"/>
    <w:rsid w:val="3C176DFC"/>
    <w:rsid w:val="3C236125"/>
    <w:rsid w:val="3C3E4364"/>
    <w:rsid w:val="3C5C6F51"/>
    <w:rsid w:val="3C5E715D"/>
    <w:rsid w:val="3C634773"/>
    <w:rsid w:val="3C6555C8"/>
    <w:rsid w:val="3C681D8A"/>
    <w:rsid w:val="3C795D45"/>
    <w:rsid w:val="3C9456A5"/>
    <w:rsid w:val="3C9506A5"/>
    <w:rsid w:val="3CAA23A2"/>
    <w:rsid w:val="3CBB6CB2"/>
    <w:rsid w:val="3CCE4A9F"/>
    <w:rsid w:val="3CE44C23"/>
    <w:rsid w:val="3D0106F2"/>
    <w:rsid w:val="3D037D04"/>
    <w:rsid w:val="3D211F38"/>
    <w:rsid w:val="3D295EBB"/>
    <w:rsid w:val="3D5B544A"/>
    <w:rsid w:val="3D693452"/>
    <w:rsid w:val="3D6965AE"/>
    <w:rsid w:val="3D73347A"/>
    <w:rsid w:val="3D787E6E"/>
    <w:rsid w:val="3D8070B6"/>
    <w:rsid w:val="3D841332"/>
    <w:rsid w:val="3D8C1AA8"/>
    <w:rsid w:val="3D9918A0"/>
    <w:rsid w:val="3DA82974"/>
    <w:rsid w:val="3DC23D2C"/>
    <w:rsid w:val="3DC3685C"/>
    <w:rsid w:val="3DC8088F"/>
    <w:rsid w:val="3E0B22DF"/>
    <w:rsid w:val="3E1027F5"/>
    <w:rsid w:val="3E3363C7"/>
    <w:rsid w:val="3E35488A"/>
    <w:rsid w:val="3E413234"/>
    <w:rsid w:val="3E693B97"/>
    <w:rsid w:val="3E960559"/>
    <w:rsid w:val="3EB93E1A"/>
    <w:rsid w:val="3EC11C25"/>
    <w:rsid w:val="3EC55271"/>
    <w:rsid w:val="3ECD4126"/>
    <w:rsid w:val="3EDA6843"/>
    <w:rsid w:val="3EE42FE0"/>
    <w:rsid w:val="3F0A537A"/>
    <w:rsid w:val="3F0B142D"/>
    <w:rsid w:val="3F152A8D"/>
    <w:rsid w:val="3F20694C"/>
    <w:rsid w:val="3F397781"/>
    <w:rsid w:val="3F5B206F"/>
    <w:rsid w:val="3F7B1DD4"/>
    <w:rsid w:val="3FB32366"/>
    <w:rsid w:val="3FE95D6F"/>
    <w:rsid w:val="403A1C8F"/>
    <w:rsid w:val="40447FC4"/>
    <w:rsid w:val="40562289"/>
    <w:rsid w:val="406A4E28"/>
    <w:rsid w:val="407C0CEF"/>
    <w:rsid w:val="40CB4CE9"/>
    <w:rsid w:val="410127AD"/>
    <w:rsid w:val="415125A0"/>
    <w:rsid w:val="41601281"/>
    <w:rsid w:val="416074D3"/>
    <w:rsid w:val="41627A70"/>
    <w:rsid w:val="416845DA"/>
    <w:rsid w:val="41735459"/>
    <w:rsid w:val="41766CF7"/>
    <w:rsid w:val="41B6477A"/>
    <w:rsid w:val="41C464D0"/>
    <w:rsid w:val="41CA2B9F"/>
    <w:rsid w:val="41D41224"/>
    <w:rsid w:val="41D42A33"/>
    <w:rsid w:val="41DF7C7A"/>
    <w:rsid w:val="420C1409"/>
    <w:rsid w:val="421948D8"/>
    <w:rsid w:val="421B789E"/>
    <w:rsid w:val="423854A9"/>
    <w:rsid w:val="424E557E"/>
    <w:rsid w:val="4251358A"/>
    <w:rsid w:val="4253528A"/>
    <w:rsid w:val="42550EE0"/>
    <w:rsid w:val="425921B3"/>
    <w:rsid w:val="426D3D17"/>
    <w:rsid w:val="427E2307"/>
    <w:rsid w:val="42B07FE6"/>
    <w:rsid w:val="42B61B08"/>
    <w:rsid w:val="42CF1CAE"/>
    <w:rsid w:val="42D068DB"/>
    <w:rsid w:val="42D27F5D"/>
    <w:rsid w:val="4320516C"/>
    <w:rsid w:val="43372D65"/>
    <w:rsid w:val="434277FC"/>
    <w:rsid w:val="436332AB"/>
    <w:rsid w:val="437557BF"/>
    <w:rsid w:val="438D657A"/>
    <w:rsid w:val="439E5F00"/>
    <w:rsid w:val="43A444C3"/>
    <w:rsid w:val="43AE32FB"/>
    <w:rsid w:val="43B34232"/>
    <w:rsid w:val="43C2489E"/>
    <w:rsid w:val="43CC031B"/>
    <w:rsid w:val="43CD34F9"/>
    <w:rsid w:val="43D97464"/>
    <w:rsid w:val="43E96A97"/>
    <w:rsid w:val="43EA0C98"/>
    <w:rsid w:val="4404683C"/>
    <w:rsid w:val="440D590D"/>
    <w:rsid w:val="44194894"/>
    <w:rsid w:val="448B2AB9"/>
    <w:rsid w:val="44B042E0"/>
    <w:rsid w:val="44B26298"/>
    <w:rsid w:val="44D22496"/>
    <w:rsid w:val="44F44409"/>
    <w:rsid w:val="45041ED0"/>
    <w:rsid w:val="45392515"/>
    <w:rsid w:val="453A6A23"/>
    <w:rsid w:val="454977AD"/>
    <w:rsid w:val="45A276FD"/>
    <w:rsid w:val="45AA51C1"/>
    <w:rsid w:val="45B97E78"/>
    <w:rsid w:val="45C049E4"/>
    <w:rsid w:val="45D55038"/>
    <w:rsid w:val="46191DA9"/>
    <w:rsid w:val="461B6DA9"/>
    <w:rsid w:val="463C341E"/>
    <w:rsid w:val="464473C4"/>
    <w:rsid w:val="465F5FAB"/>
    <w:rsid w:val="466E068E"/>
    <w:rsid w:val="46850B26"/>
    <w:rsid w:val="468E063F"/>
    <w:rsid w:val="46D31CFE"/>
    <w:rsid w:val="46F25071"/>
    <w:rsid w:val="46F32B98"/>
    <w:rsid w:val="47031E18"/>
    <w:rsid w:val="47264D1B"/>
    <w:rsid w:val="47270B0D"/>
    <w:rsid w:val="473A4323"/>
    <w:rsid w:val="4740402F"/>
    <w:rsid w:val="475C24EB"/>
    <w:rsid w:val="4766645C"/>
    <w:rsid w:val="4779309D"/>
    <w:rsid w:val="47807520"/>
    <w:rsid w:val="479B2343"/>
    <w:rsid w:val="47AD609F"/>
    <w:rsid w:val="47AD6A5D"/>
    <w:rsid w:val="47C14A44"/>
    <w:rsid w:val="47D44777"/>
    <w:rsid w:val="47E644C0"/>
    <w:rsid w:val="47EA7AF7"/>
    <w:rsid w:val="47F170D7"/>
    <w:rsid w:val="480728D4"/>
    <w:rsid w:val="483A324F"/>
    <w:rsid w:val="484561BE"/>
    <w:rsid w:val="489C4D33"/>
    <w:rsid w:val="489D1D00"/>
    <w:rsid w:val="48BF1884"/>
    <w:rsid w:val="4944592C"/>
    <w:rsid w:val="49496A9F"/>
    <w:rsid w:val="494F5F73"/>
    <w:rsid w:val="495A7EF8"/>
    <w:rsid w:val="495C4A24"/>
    <w:rsid w:val="49A13117"/>
    <w:rsid w:val="49A563CB"/>
    <w:rsid w:val="49B57D29"/>
    <w:rsid w:val="49D722FD"/>
    <w:rsid w:val="49DB7FF1"/>
    <w:rsid w:val="49F7474D"/>
    <w:rsid w:val="4A2A6AEB"/>
    <w:rsid w:val="4A2C096F"/>
    <w:rsid w:val="4A3333B5"/>
    <w:rsid w:val="4A4F4589"/>
    <w:rsid w:val="4A58333C"/>
    <w:rsid w:val="4A5971B6"/>
    <w:rsid w:val="4A670E12"/>
    <w:rsid w:val="4A7144FF"/>
    <w:rsid w:val="4A855742"/>
    <w:rsid w:val="4AC008BD"/>
    <w:rsid w:val="4AD25AED"/>
    <w:rsid w:val="4AD625B4"/>
    <w:rsid w:val="4ADC55D1"/>
    <w:rsid w:val="4AEC627C"/>
    <w:rsid w:val="4AF42F32"/>
    <w:rsid w:val="4B010FC8"/>
    <w:rsid w:val="4B1C090F"/>
    <w:rsid w:val="4B315F9B"/>
    <w:rsid w:val="4B3C4B0D"/>
    <w:rsid w:val="4B3D7D69"/>
    <w:rsid w:val="4B473D7B"/>
    <w:rsid w:val="4B4872A1"/>
    <w:rsid w:val="4B4F5472"/>
    <w:rsid w:val="4B560F33"/>
    <w:rsid w:val="4B576AAE"/>
    <w:rsid w:val="4B8412D0"/>
    <w:rsid w:val="4B885FA4"/>
    <w:rsid w:val="4BA61F1F"/>
    <w:rsid w:val="4BA85A27"/>
    <w:rsid w:val="4BB4664D"/>
    <w:rsid w:val="4BB4694B"/>
    <w:rsid w:val="4BBB2414"/>
    <w:rsid w:val="4BEB02E1"/>
    <w:rsid w:val="4C012BC2"/>
    <w:rsid w:val="4C035E32"/>
    <w:rsid w:val="4C0F3FD0"/>
    <w:rsid w:val="4C151C74"/>
    <w:rsid w:val="4C1C66ED"/>
    <w:rsid w:val="4C353FA2"/>
    <w:rsid w:val="4C78248E"/>
    <w:rsid w:val="4C7A2FF8"/>
    <w:rsid w:val="4CBE35DA"/>
    <w:rsid w:val="4CC36B68"/>
    <w:rsid w:val="4CDA44B3"/>
    <w:rsid w:val="4D1B0752"/>
    <w:rsid w:val="4D2B317E"/>
    <w:rsid w:val="4D4B7289"/>
    <w:rsid w:val="4D58141A"/>
    <w:rsid w:val="4D7D0516"/>
    <w:rsid w:val="4D8514B1"/>
    <w:rsid w:val="4D8B0388"/>
    <w:rsid w:val="4D934E2F"/>
    <w:rsid w:val="4DB23A72"/>
    <w:rsid w:val="4DE1374A"/>
    <w:rsid w:val="4DF92A0A"/>
    <w:rsid w:val="4E1D3AA8"/>
    <w:rsid w:val="4E2A5922"/>
    <w:rsid w:val="4E3B7B85"/>
    <w:rsid w:val="4E950D0B"/>
    <w:rsid w:val="4ED92673"/>
    <w:rsid w:val="4EEF633A"/>
    <w:rsid w:val="4EF4336A"/>
    <w:rsid w:val="4EF86F9D"/>
    <w:rsid w:val="4EFE5D34"/>
    <w:rsid w:val="4F0114D5"/>
    <w:rsid w:val="4F0C0C9A"/>
    <w:rsid w:val="4F0C2A48"/>
    <w:rsid w:val="4F2505D4"/>
    <w:rsid w:val="4F2558B8"/>
    <w:rsid w:val="4F38343E"/>
    <w:rsid w:val="4F6B3C13"/>
    <w:rsid w:val="4F7F542D"/>
    <w:rsid w:val="4F8D49C4"/>
    <w:rsid w:val="4F9111A0"/>
    <w:rsid w:val="4FCD2475"/>
    <w:rsid w:val="4FEB6E1C"/>
    <w:rsid w:val="4FF60198"/>
    <w:rsid w:val="5034408E"/>
    <w:rsid w:val="503C735D"/>
    <w:rsid w:val="504F7599"/>
    <w:rsid w:val="506F3E2D"/>
    <w:rsid w:val="50970A38"/>
    <w:rsid w:val="50A078EC"/>
    <w:rsid w:val="50A63456"/>
    <w:rsid w:val="50B95974"/>
    <w:rsid w:val="50C673B4"/>
    <w:rsid w:val="50C73393"/>
    <w:rsid w:val="50D82CB3"/>
    <w:rsid w:val="50E14FFE"/>
    <w:rsid w:val="51053BF3"/>
    <w:rsid w:val="510C7F1C"/>
    <w:rsid w:val="51275676"/>
    <w:rsid w:val="51385D77"/>
    <w:rsid w:val="514566E6"/>
    <w:rsid w:val="51510BE7"/>
    <w:rsid w:val="516B614C"/>
    <w:rsid w:val="51842D6A"/>
    <w:rsid w:val="519805C3"/>
    <w:rsid w:val="51AE66EB"/>
    <w:rsid w:val="51BA0C7E"/>
    <w:rsid w:val="51BE2DB1"/>
    <w:rsid w:val="51DE5488"/>
    <w:rsid w:val="521C0134"/>
    <w:rsid w:val="52285DEB"/>
    <w:rsid w:val="523A1C02"/>
    <w:rsid w:val="5268443A"/>
    <w:rsid w:val="526B756D"/>
    <w:rsid w:val="52DD156E"/>
    <w:rsid w:val="52DF776B"/>
    <w:rsid w:val="52FF45DE"/>
    <w:rsid w:val="5304383C"/>
    <w:rsid w:val="53061FB1"/>
    <w:rsid w:val="530A729F"/>
    <w:rsid w:val="53166774"/>
    <w:rsid w:val="533F3561"/>
    <w:rsid w:val="53404312"/>
    <w:rsid w:val="53784B50"/>
    <w:rsid w:val="537D3F15"/>
    <w:rsid w:val="53B92A73"/>
    <w:rsid w:val="53C9715A"/>
    <w:rsid w:val="53EE4E13"/>
    <w:rsid w:val="542D6A5D"/>
    <w:rsid w:val="54413AFD"/>
    <w:rsid w:val="5458228C"/>
    <w:rsid w:val="545E4AE6"/>
    <w:rsid w:val="5476240B"/>
    <w:rsid w:val="54880DC3"/>
    <w:rsid w:val="54B90F7D"/>
    <w:rsid w:val="54D220C2"/>
    <w:rsid w:val="54D3134A"/>
    <w:rsid w:val="54FE4BE1"/>
    <w:rsid w:val="55014D0F"/>
    <w:rsid w:val="55065D01"/>
    <w:rsid w:val="5588094F"/>
    <w:rsid w:val="55A32FF3"/>
    <w:rsid w:val="55BB6F76"/>
    <w:rsid w:val="55C23E61"/>
    <w:rsid w:val="55C776C9"/>
    <w:rsid w:val="55EB742F"/>
    <w:rsid w:val="56186177"/>
    <w:rsid w:val="569972B8"/>
    <w:rsid w:val="56BA4472"/>
    <w:rsid w:val="56E15778"/>
    <w:rsid w:val="56E30533"/>
    <w:rsid w:val="56E976CE"/>
    <w:rsid w:val="56EA7B13"/>
    <w:rsid w:val="56F03BE4"/>
    <w:rsid w:val="57281676"/>
    <w:rsid w:val="57446072"/>
    <w:rsid w:val="57571922"/>
    <w:rsid w:val="57601B83"/>
    <w:rsid w:val="578054ED"/>
    <w:rsid w:val="578E65E6"/>
    <w:rsid w:val="57923D07"/>
    <w:rsid w:val="57D3074D"/>
    <w:rsid w:val="57E610F6"/>
    <w:rsid w:val="580A1AEF"/>
    <w:rsid w:val="581B5AAA"/>
    <w:rsid w:val="58221A9F"/>
    <w:rsid w:val="58546CE6"/>
    <w:rsid w:val="58C05341"/>
    <w:rsid w:val="58CB127E"/>
    <w:rsid w:val="58EA5269"/>
    <w:rsid w:val="58F34786"/>
    <w:rsid w:val="591744DE"/>
    <w:rsid w:val="59755FA2"/>
    <w:rsid w:val="597A4EEC"/>
    <w:rsid w:val="599930E8"/>
    <w:rsid w:val="59BC4DF3"/>
    <w:rsid w:val="59C35D8B"/>
    <w:rsid w:val="5A0B668B"/>
    <w:rsid w:val="5A15485B"/>
    <w:rsid w:val="5A421A14"/>
    <w:rsid w:val="5A4C2893"/>
    <w:rsid w:val="5A625C12"/>
    <w:rsid w:val="5A64198B"/>
    <w:rsid w:val="5A721CE2"/>
    <w:rsid w:val="5A874A16"/>
    <w:rsid w:val="5AA21A02"/>
    <w:rsid w:val="5AA71877"/>
    <w:rsid w:val="5ADC3C17"/>
    <w:rsid w:val="5AE25BCD"/>
    <w:rsid w:val="5AE47F21"/>
    <w:rsid w:val="5AE5760C"/>
    <w:rsid w:val="5AE64A95"/>
    <w:rsid w:val="5AE900E2"/>
    <w:rsid w:val="5AF2648B"/>
    <w:rsid w:val="5B2040C8"/>
    <w:rsid w:val="5B4B11A6"/>
    <w:rsid w:val="5B70435F"/>
    <w:rsid w:val="5B871DD5"/>
    <w:rsid w:val="5BA652E6"/>
    <w:rsid w:val="5BC934AE"/>
    <w:rsid w:val="5BCF382F"/>
    <w:rsid w:val="5C14118E"/>
    <w:rsid w:val="5C1B076F"/>
    <w:rsid w:val="5C311D40"/>
    <w:rsid w:val="5C550302"/>
    <w:rsid w:val="5C5533EB"/>
    <w:rsid w:val="5C9E3F88"/>
    <w:rsid w:val="5CCD7CBB"/>
    <w:rsid w:val="5CFB5EAA"/>
    <w:rsid w:val="5CFE64C9"/>
    <w:rsid w:val="5D04070E"/>
    <w:rsid w:val="5D080CF3"/>
    <w:rsid w:val="5D0E2BD6"/>
    <w:rsid w:val="5D17053E"/>
    <w:rsid w:val="5D683575"/>
    <w:rsid w:val="5D777C27"/>
    <w:rsid w:val="5D7874FB"/>
    <w:rsid w:val="5D7C2C92"/>
    <w:rsid w:val="5D7E4BD2"/>
    <w:rsid w:val="5D900CE9"/>
    <w:rsid w:val="5DB2327E"/>
    <w:rsid w:val="5DC25B98"/>
    <w:rsid w:val="5DD24E5D"/>
    <w:rsid w:val="5DDC3C77"/>
    <w:rsid w:val="5DE94A4A"/>
    <w:rsid w:val="5DF01C97"/>
    <w:rsid w:val="5E4073B6"/>
    <w:rsid w:val="5E422CCE"/>
    <w:rsid w:val="5E534C55"/>
    <w:rsid w:val="5E5D77C2"/>
    <w:rsid w:val="5EBB1D95"/>
    <w:rsid w:val="5EC200EC"/>
    <w:rsid w:val="5ECE3876"/>
    <w:rsid w:val="5EF07BF3"/>
    <w:rsid w:val="5EF32CA2"/>
    <w:rsid w:val="5EFF1365"/>
    <w:rsid w:val="5F067373"/>
    <w:rsid w:val="5F26798C"/>
    <w:rsid w:val="5F5024DD"/>
    <w:rsid w:val="5F6925D6"/>
    <w:rsid w:val="5F715F24"/>
    <w:rsid w:val="5F831415"/>
    <w:rsid w:val="5F8B6784"/>
    <w:rsid w:val="5F966604"/>
    <w:rsid w:val="5FB011CE"/>
    <w:rsid w:val="5FB825AB"/>
    <w:rsid w:val="5FF63777"/>
    <w:rsid w:val="60252D65"/>
    <w:rsid w:val="6037544B"/>
    <w:rsid w:val="604A1432"/>
    <w:rsid w:val="604A3E3F"/>
    <w:rsid w:val="605024B2"/>
    <w:rsid w:val="606803FD"/>
    <w:rsid w:val="607E307A"/>
    <w:rsid w:val="607F6B67"/>
    <w:rsid w:val="609B161E"/>
    <w:rsid w:val="609E4EAB"/>
    <w:rsid w:val="60A54AAB"/>
    <w:rsid w:val="60D64C64"/>
    <w:rsid w:val="60DA5A18"/>
    <w:rsid w:val="61131A15"/>
    <w:rsid w:val="614C3CDE"/>
    <w:rsid w:val="61654112"/>
    <w:rsid w:val="61903065"/>
    <w:rsid w:val="61AE5BE1"/>
    <w:rsid w:val="61FE29B4"/>
    <w:rsid w:val="62016423"/>
    <w:rsid w:val="62173786"/>
    <w:rsid w:val="621A6DD3"/>
    <w:rsid w:val="62332AEA"/>
    <w:rsid w:val="62374C07"/>
    <w:rsid w:val="626369CC"/>
    <w:rsid w:val="62660E27"/>
    <w:rsid w:val="627A1A7E"/>
    <w:rsid w:val="627E7362"/>
    <w:rsid w:val="629D1EDE"/>
    <w:rsid w:val="62DC6813"/>
    <w:rsid w:val="62E72926"/>
    <w:rsid w:val="63512CC8"/>
    <w:rsid w:val="636E2DB9"/>
    <w:rsid w:val="638259C1"/>
    <w:rsid w:val="638D6ECA"/>
    <w:rsid w:val="63A6084D"/>
    <w:rsid w:val="63C0294D"/>
    <w:rsid w:val="63C04FFE"/>
    <w:rsid w:val="63EA6A11"/>
    <w:rsid w:val="63F95605"/>
    <w:rsid w:val="6418639F"/>
    <w:rsid w:val="64274B00"/>
    <w:rsid w:val="64476F4B"/>
    <w:rsid w:val="645D1610"/>
    <w:rsid w:val="6461518D"/>
    <w:rsid w:val="64627730"/>
    <w:rsid w:val="647B27C8"/>
    <w:rsid w:val="649B468C"/>
    <w:rsid w:val="64AA2690"/>
    <w:rsid w:val="64B4350F"/>
    <w:rsid w:val="64B53F04"/>
    <w:rsid w:val="64B96D77"/>
    <w:rsid w:val="64BD3AD8"/>
    <w:rsid w:val="64C5571C"/>
    <w:rsid w:val="651B358E"/>
    <w:rsid w:val="655B398A"/>
    <w:rsid w:val="655E5101"/>
    <w:rsid w:val="65612191"/>
    <w:rsid w:val="656D0802"/>
    <w:rsid w:val="657974A2"/>
    <w:rsid w:val="6598243B"/>
    <w:rsid w:val="65A11CE5"/>
    <w:rsid w:val="65B1041A"/>
    <w:rsid w:val="65B32646"/>
    <w:rsid w:val="65BF6C45"/>
    <w:rsid w:val="66080F1E"/>
    <w:rsid w:val="66196FE6"/>
    <w:rsid w:val="661C6D07"/>
    <w:rsid w:val="66234E1D"/>
    <w:rsid w:val="662A481C"/>
    <w:rsid w:val="663D5D73"/>
    <w:rsid w:val="6655487D"/>
    <w:rsid w:val="665A350C"/>
    <w:rsid w:val="6679056C"/>
    <w:rsid w:val="667A2D7A"/>
    <w:rsid w:val="66A23F66"/>
    <w:rsid w:val="66B940D2"/>
    <w:rsid w:val="66BE12BA"/>
    <w:rsid w:val="66CD2666"/>
    <w:rsid w:val="67065B78"/>
    <w:rsid w:val="67102B67"/>
    <w:rsid w:val="67177D85"/>
    <w:rsid w:val="671B7875"/>
    <w:rsid w:val="674A1F08"/>
    <w:rsid w:val="676A269A"/>
    <w:rsid w:val="676A7731"/>
    <w:rsid w:val="67762CFD"/>
    <w:rsid w:val="677C167C"/>
    <w:rsid w:val="6788436B"/>
    <w:rsid w:val="67A6059F"/>
    <w:rsid w:val="67A930D3"/>
    <w:rsid w:val="67AB4A4D"/>
    <w:rsid w:val="67CE061B"/>
    <w:rsid w:val="67D0065F"/>
    <w:rsid w:val="67E160CF"/>
    <w:rsid w:val="67E265E5"/>
    <w:rsid w:val="67EB7247"/>
    <w:rsid w:val="67EC567E"/>
    <w:rsid w:val="680D7083"/>
    <w:rsid w:val="681870D6"/>
    <w:rsid w:val="682D3D04"/>
    <w:rsid w:val="6846720B"/>
    <w:rsid w:val="685847A6"/>
    <w:rsid w:val="685A43CD"/>
    <w:rsid w:val="685B745D"/>
    <w:rsid w:val="68647114"/>
    <w:rsid w:val="68664C2E"/>
    <w:rsid w:val="68690437"/>
    <w:rsid w:val="687E455F"/>
    <w:rsid w:val="68806415"/>
    <w:rsid w:val="68824AA8"/>
    <w:rsid w:val="68BA09C6"/>
    <w:rsid w:val="68BC022A"/>
    <w:rsid w:val="68C16E6E"/>
    <w:rsid w:val="69144615"/>
    <w:rsid w:val="69197DE4"/>
    <w:rsid w:val="69216C99"/>
    <w:rsid w:val="69333A05"/>
    <w:rsid w:val="69547A3B"/>
    <w:rsid w:val="69584481"/>
    <w:rsid w:val="696C260A"/>
    <w:rsid w:val="69766FE4"/>
    <w:rsid w:val="698519E9"/>
    <w:rsid w:val="699739C9"/>
    <w:rsid w:val="69D03328"/>
    <w:rsid w:val="69EB79D2"/>
    <w:rsid w:val="69F04D6A"/>
    <w:rsid w:val="6A0E4E84"/>
    <w:rsid w:val="6A165C33"/>
    <w:rsid w:val="6A1A5BDD"/>
    <w:rsid w:val="6A413A96"/>
    <w:rsid w:val="6A547390"/>
    <w:rsid w:val="6A5C61DA"/>
    <w:rsid w:val="6A696B49"/>
    <w:rsid w:val="6A846F36"/>
    <w:rsid w:val="6A9049D6"/>
    <w:rsid w:val="6AA14B35"/>
    <w:rsid w:val="6AA162E3"/>
    <w:rsid w:val="6AAE60B2"/>
    <w:rsid w:val="6AAF1A38"/>
    <w:rsid w:val="6AB46016"/>
    <w:rsid w:val="6AB54A30"/>
    <w:rsid w:val="6AEC1C54"/>
    <w:rsid w:val="6AF0615F"/>
    <w:rsid w:val="6B360C56"/>
    <w:rsid w:val="6B467643"/>
    <w:rsid w:val="6B4D6456"/>
    <w:rsid w:val="6B660A7C"/>
    <w:rsid w:val="6B794BB1"/>
    <w:rsid w:val="6B8A77D5"/>
    <w:rsid w:val="6B902323"/>
    <w:rsid w:val="6BC57F06"/>
    <w:rsid w:val="6BDF4DBD"/>
    <w:rsid w:val="6C081755"/>
    <w:rsid w:val="6C281E4E"/>
    <w:rsid w:val="6C66737C"/>
    <w:rsid w:val="6C6A0D47"/>
    <w:rsid w:val="6C873A1F"/>
    <w:rsid w:val="6CAE5DFE"/>
    <w:rsid w:val="6CB0280D"/>
    <w:rsid w:val="6CBF427F"/>
    <w:rsid w:val="6D1E152C"/>
    <w:rsid w:val="6D34343E"/>
    <w:rsid w:val="6D350F65"/>
    <w:rsid w:val="6D5B09CB"/>
    <w:rsid w:val="6D6751A2"/>
    <w:rsid w:val="6D9850F5"/>
    <w:rsid w:val="6DAA54AF"/>
    <w:rsid w:val="6DD40D55"/>
    <w:rsid w:val="6DE27606"/>
    <w:rsid w:val="6DEE7A91"/>
    <w:rsid w:val="6E155F11"/>
    <w:rsid w:val="6E2C2368"/>
    <w:rsid w:val="6E3D4902"/>
    <w:rsid w:val="6E5F098F"/>
    <w:rsid w:val="6E650A54"/>
    <w:rsid w:val="6E77591A"/>
    <w:rsid w:val="6E7D0E15"/>
    <w:rsid w:val="6E9610CA"/>
    <w:rsid w:val="6EB7118A"/>
    <w:rsid w:val="6ED053E9"/>
    <w:rsid w:val="6EFB45F9"/>
    <w:rsid w:val="6EFF5FE0"/>
    <w:rsid w:val="6F1F648C"/>
    <w:rsid w:val="6F321856"/>
    <w:rsid w:val="6F6B6D45"/>
    <w:rsid w:val="6F703987"/>
    <w:rsid w:val="6F867220"/>
    <w:rsid w:val="6F9C1D1C"/>
    <w:rsid w:val="6FC30AAA"/>
    <w:rsid w:val="6FC9509F"/>
    <w:rsid w:val="6FD1766A"/>
    <w:rsid w:val="6FD46EC6"/>
    <w:rsid w:val="6FF3138F"/>
    <w:rsid w:val="6FFB6495"/>
    <w:rsid w:val="70015D80"/>
    <w:rsid w:val="70030E68"/>
    <w:rsid w:val="703569C5"/>
    <w:rsid w:val="703E5F69"/>
    <w:rsid w:val="7055201D"/>
    <w:rsid w:val="70651828"/>
    <w:rsid w:val="70956EE6"/>
    <w:rsid w:val="70980188"/>
    <w:rsid w:val="70E231B1"/>
    <w:rsid w:val="71206551"/>
    <w:rsid w:val="7141437C"/>
    <w:rsid w:val="716B18C0"/>
    <w:rsid w:val="71775B5B"/>
    <w:rsid w:val="717F6C52"/>
    <w:rsid w:val="71834994"/>
    <w:rsid w:val="71926986"/>
    <w:rsid w:val="71A85CDE"/>
    <w:rsid w:val="72021B5A"/>
    <w:rsid w:val="720F447A"/>
    <w:rsid w:val="72127391"/>
    <w:rsid w:val="72155C72"/>
    <w:rsid w:val="72235E9A"/>
    <w:rsid w:val="7240799A"/>
    <w:rsid w:val="724E68D9"/>
    <w:rsid w:val="72666E9C"/>
    <w:rsid w:val="7270316B"/>
    <w:rsid w:val="728A3B01"/>
    <w:rsid w:val="72920205"/>
    <w:rsid w:val="72936E59"/>
    <w:rsid w:val="72E27499"/>
    <w:rsid w:val="72F13618"/>
    <w:rsid w:val="72F63421"/>
    <w:rsid w:val="73196F1E"/>
    <w:rsid w:val="73357E54"/>
    <w:rsid w:val="733C295F"/>
    <w:rsid w:val="73514FF8"/>
    <w:rsid w:val="73526807"/>
    <w:rsid w:val="7355007F"/>
    <w:rsid w:val="735A004C"/>
    <w:rsid w:val="73770529"/>
    <w:rsid w:val="739A769A"/>
    <w:rsid w:val="73A415AD"/>
    <w:rsid w:val="73AC17E0"/>
    <w:rsid w:val="73B14AA8"/>
    <w:rsid w:val="73C658BC"/>
    <w:rsid w:val="74044773"/>
    <w:rsid w:val="7472484C"/>
    <w:rsid w:val="74793E2D"/>
    <w:rsid w:val="747A1FA3"/>
    <w:rsid w:val="747D391D"/>
    <w:rsid w:val="74AC2A60"/>
    <w:rsid w:val="74E51EC7"/>
    <w:rsid w:val="74EC12B2"/>
    <w:rsid w:val="74F81787"/>
    <w:rsid w:val="75270928"/>
    <w:rsid w:val="75303243"/>
    <w:rsid w:val="753B48E1"/>
    <w:rsid w:val="755262AE"/>
    <w:rsid w:val="75696DDE"/>
    <w:rsid w:val="75746C12"/>
    <w:rsid w:val="758B7936"/>
    <w:rsid w:val="75A036AD"/>
    <w:rsid w:val="75C55E53"/>
    <w:rsid w:val="75D3603B"/>
    <w:rsid w:val="75D71850"/>
    <w:rsid w:val="75D732ED"/>
    <w:rsid w:val="75D94B83"/>
    <w:rsid w:val="75EC5689"/>
    <w:rsid w:val="75F92B64"/>
    <w:rsid w:val="76013857"/>
    <w:rsid w:val="761743DB"/>
    <w:rsid w:val="761F00E1"/>
    <w:rsid w:val="76240D09"/>
    <w:rsid w:val="762825A7"/>
    <w:rsid w:val="762F2954"/>
    <w:rsid w:val="7653581E"/>
    <w:rsid w:val="765608C9"/>
    <w:rsid w:val="7662101C"/>
    <w:rsid w:val="7677439C"/>
    <w:rsid w:val="76A57892"/>
    <w:rsid w:val="76BC74DC"/>
    <w:rsid w:val="76C92E49"/>
    <w:rsid w:val="76FF686B"/>
    <w:rsid w:val="77005BC9"/>
    <w:rsid w:val="77072135"/>
    <w:rsid w:val="77073F6B"/>
    <w:rsid w:val="775818A3"/>
    <w:rsid w:val="77996CC0"/>
    <w:rsid w:val="77A501F1"/>
    <w:rsid w:val="77C64B71"/>
    <w:rsid w:val="77C92F07"/>
    <w:rsid w:val="78102787"/>
    <w:rsid w:val="782A3453"/>
    <w:rsid w:val="78511CEB"/>
    <w:rsid w:val="786817F1"/>
    <w:rsid w:val="786C7E7E"/>
    <w:rsid w:val="78825CC1"/>
    <w:rsid w:val="78A530D5"/>
    <w:rsid w:val="78B65D69"/>
    <w:rsid w:val="78C80EDF"/>
    <w:rsid w:val="78D83818"/>
    <w:rsid w:val="78DD0E2E"/>
    <w:rsid w:val="78F61EF0"/>
    <w:rsid w:val="78F87A16"/>
    <w:rsid w:val="790824A0"/>
    <w:rsid w:val="795700BE"/>
    <w:rsid w:val="7971428B"/>
    <w:rsid w:val="79751067"/>
    <w:rsid w:val="79A13C0A"/>
    <w:rsid w:val="79AE3F7D"/>
    <w:rsid w:val="79BF1A6B"/>
    <w:rsid w:val="79FD2EC1"/>
    <w:rsid w:val="7A193C31"/>
    <w:rsid w:val="7A1F7224"/>
    <w:rsid w:val="7A32461B"/>
    <w:rsid w:val="7A4D3D91"/>
    <w:rsid w:val="7A5A50FB"/>
    <w:rsid w:val="7A9419C0"/>
    <w:rsid w:val="7AAD16E9"/>
    <w:rsid w:val="7ABE6A3D"/>
    <w:rsid w:val="7AE20071"/>
    <w:rsid w:val="7AF16FF7"/>
    <w:rsid w:val="7AF715D4"/>
    <w:rsid w:val="7B266A59"/>
    <w:rsid w:val="7B2745E3"/>
    <w:rsid w:val="7B283673"/>
    <w:rsid w:val="7B4E6378"/>
    <w:rsid w:val="7B5D50F6"/>
    <w:rsid w:val="7B62387C"/>
    <w:rsid w:val="7BAC4AE8"/>
    <w:rsid w:val="7BC44E97"/>
    <w:rsid w:val="7BC50E26"/>
    <w:rsid w:val="7BF32F1E"/>
    <w:rsid w:val="7BFD3595"/>
    <w:rsid w:val="7C0F48D3"/>
    <w:rsid w:val="7C694787"/>
    <w:rsid w:val="7C865339"/>
    <w:rsid w:val="7C8675CA"/>
    <w:rsid w:val="7C907664"/>
    <w:rsid w:val="7CA90EFB"/>
    <w:rsid w:val="7CAB2FF1"/>
    <w:rsid w:val="7CB0143D"/>
    <w:rsid w:val="7CDD626F"/>
    <w:rsid w:val="7CE34974"/>
    <w:rsid w:val="7D133629"/>
    <w:rsid w:val="7D2C7C8E"/>
    <w:rsid w:val="7D5316BF"/>
    <w:rsid w:val="7D622DD6"/>
    <w:rsid w:val="7D6A6F91"/>
    <w:rsid w:val="7D8A0E59"/>
    <w:rsid w:val="7D96347B"/>
    <w:rsid w:val="7DC26844"/>
    <w:rsid w:val="7DE50C9D"/>
    <w:rsid w:val="7E0A6AB6"/>
    <w:rsid w:val="7E0B04C4"/>
    <w:rsid w:val="7E1325A1"/>
    <w:rsid w:val="7E19520D"/>
    <w:rsid w:val="7E1A3F8B"/>
    <w:rsid w:val="7E334686"/>
    <w:rsid w:val="7E526806"/>
    <w:rsid w:val="7E6671D0"/>
    <w:rsid w:val="7E787A5D"/>
    <w:rsid w:val="7EA426D4"/>
    <w:rsid w:val="7EC319FB"/>
    <w:rsid w:val="7EC32874"/>
    <w:rsid w:val="7EDE5F51"/>
    <w:rsid w:val="7EF46244"/>
    <w:rsid w:val="7F1A3B1B"/>
    <w:rsid w:val="7F3E5C19"/>
    <w:rsid w:val="7F567267"/>
    <w:rsid w:val="7F64761C"/>
    <w:rsid w:val="7F686F78"/>
    <w:rsid w:val="7F6D0983"/>
    <w:rsid w:val="7F952D95"/>
    <w:rsid w:val="7F9857B3"/>
    <w:rsid w:val="7F995383"/>
    <w:rsid w:val="7FAC3308"/>
    <w:rsid w:val="7FB126CD"/>
    <w:rsid w:val="7FCD70E5"/>
    <w:rsid w:val="7FD12A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28"/>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4"/>
    </w:rPr>
  </w:style>
  <w:style w:type="paragraph" w:styleId="6">
    <w:name w:val="heading 5"/>
    <w:basedOn w:val="1"/>
    <w:next w:val="1"/>
    <w:unhideWhenUsed/>
    <w:qFormat/>
    <w:uiPriority w:val="0"/>
    <w:pPr>
      <w:keepNext/>
      <w:keepLines/>
      <w:spacing w:before="280" w:after="290" w:line="372" w:lineRule="auto"/>
      <w:outlineLvl w:val="4"/>
    </w:pPr>
    <w:rPr>
      <w:b/>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1680"/>
      <w:jc w:val="left"/>
    </w:pPr>
    <w:rPr>
      <w:rFonts w:cstheme="minorHAnsi"/>
      <w:sz w:val="18"/>
      <w:szCs w:val="18"/>
    </w:rPr>
  </w:style>
  <w:style w:type="paragraph" w:styleId="8">
    <w:name w:val="annotation text"/>
    <w:basedOn w:val="1"/>
    <w:link w:val="46"/>
    <w:qFormat/>
    <w:uiPriority w:val="0"/>
    <w:pPr>
      <w:jc w:val="left"/>
    </w:pPr>
  </w:style>
  <w:style w:type="paragraph" w:styleId="9">
    <w:name w:val="Body Text"/>
    <w:basedOn w:val="1"/>
    <w:semiHidden/>
    <w:qFormat/>
    <w:uiPriority w:val="0"/>
    <w:rPr>
      <w:rFonts w:ascii="黑体" w:hAnsi="黑体" w:eastAsia="黑体" w:cs="黑体"/>
      <w:sz w:val="28"/>
      <w:szCs w:val="28"/>
      <w:lang w:val="en-US" w:eastAsia="en-US" w:bidi="ar-SA"/>
    </w:rPr>
  </w:style>
  <w:style w:type="paragraph" w:styleId="10">
    <w:name w:val="toc 5"/>
    <w:basedOn w:val="1"/>
    <w:next w:val="1"/>
    <w:qFormat/>
    <w:uiPriority w:val="0"/>
    <w:pPr>
      <w:ind w:left="1120"/>
      <w:jc w:val="left"/>
    </w:pPr>
    <w:rPr>
      <w:rFonts w:cstheme="minorHAnsi"/>
      <w:sz w:val="18"/>
      <w:szCs w:val="18"/>
    </w:rPr>
  </w:style>
  <w:style w:type="paragraph" w:styleId="11">
    <w:name w:val="toc 3"/>
    <w:basedOn w:val="1"/>
    <w:next w:val="1"/>
    <w:qFormat/>
    <w:uiPriority w:val="39"/>
    <w:pPr>
      <w:ind w:left="560"/>
      <w:jc w:val="left"/>
    </w:pPr>
    <w:rPr>
      <w:rFonts w:cstheme="minorHAnsi"/>
      <w:i/>
      <w:iCs/>
      <w:sz w:val="20"/>
      <w:szCs w:val="20"/>
    </w:rPr>
  </w:style>
  <w:style w:type="paragraph" w:styleId="12">
    <w:name w:val="toc 8"/>
    <w:basedOn w:val="1"/>
    <w:next w:val="1"/>
    <w:qFormat/>
    <w:uiPriority w:val="0"/>
    <w:pPr>
      <w:ind w:left="1960"/>
      <w:jc w:val="left"/>
    </w:pPr>
    <w:rPr>
      <w:rFonts w:cstheme="minorHAnsi"/>
      <w:sz w:val="18"/>
      <w:szCs w:val="18"/>
    </w:rPr>
  </w:style>
  <w:style w:type="paragraph" w:styleId="13">
    <w:name w:val="Balloon Text"/>
    <w:basedOn w:val="1"/>
    <w:link w:val="32"/>
    <w:qFormat/>
    <w:uiPriority w:val="0"/>
    <w:rPr>
      <w:sz w:val="18"/>
      <w:szCs w:val="18"/>
    </w:rPr>
  </w:style>
  <w:style w:type="paragraph" w:styleId="14">
    <w:name w:val="footer"/>
    <w:basedOn w:val="1"/>
    <w:link w:val="35"/>
    <w:qFormat/>
    <w:uiPriority w:val="99"/>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39"/>
    <w:pPr>
      <w:spacing w:before="120" w:after="120"/>
      <w:jc w:val="left"/>
    </w:pPr>
    <w:rPr>
      <w:rFonts w:cstheme="minorHAnsi"/>
      <w:b/>
      <w:bCs/>
      <w:caps/>
      <w:sz w:val="20"/>
      <w:szCs w:val="20"/>
    </w:rPr>
  </w:style>
  <w:style w:type="paragraph" w:styleId="17">
    <w:name w:val="toc 4"/>
    <w:basedOn w:val="1"/>
    <w:next w:val="1"/>
    <w:qFormat/>
    <w:uiPriority w:val="39"/>
    <w:pPr>
      <w:ind w:left="840"/>
      <w:jc w:val="left"/>
    </w:pPr>
    <w:rPr>
      <w:rFonts w:cstheme="minorHAnsi"/>
      <w:sz w:val="18"/>
      <w:szCs w:val="18"/>
    </w:rPr>
  </w:style>
  <w:style w:type="paragraph" w:styleId="18">
    <w:name w:val="toc 6"/>
    <w:basedOn w:val="1"/>
    <w:next w:val="1"/>
    <w:autoRedefine/>
    <w:qFormat/>
    <w:uiPriority w:val="0"/>
    <w:pPr>
      <w:ind w:left="1400"/>
      <w:jc w:val="left"/>
    </w:pPr>
    <w:rPr>
      <w:rFonts w:cstheme="minorHAnsi"/>
      <w:sz w:val="18"/>
      <w:szCs w:val="18"/>
    </w:rPr>
  </w:style>
  <w:style w:type="paragraph" w:styleId="19">
    <w:name w:val="toc 2"/>
    <w:basedOn w:val="1"/>
    <w:next w:val="1"/>
    <w:qFormat/>
    <w:uiPriority w:val="39"/>
    <w:pPr>
      <w:ind w:left="280"/>
      <w:jc w:val="left"/>
    </w:pPr>
    <w:rPr>
      <w:rFonts w:cstheme="minorHAnsi"/>
      <w:smallCaps/>
      <w:sz w:val="20"/>
      <w:szCs w:val="20"/>
    </w:rPr>
  </w:style>
  <w:style w:type="paragraph" w:styleId="20">
    <w:name w:val="toc 9"/>
    <w:basedOn w:val="1"/>
    <w:next w:val="1"/>
    <w:qFormat/>
    <w:uiPriority w:val="0"/>
    <w:pPr>
      <w:ind w:left="2240"/>
      <w:jc w:val="left"/>
    </w:pPr>
    <w:rPr>
      <w:rFonts w:cstheme="minorHAnsi"/>
      <w:sz w:val="18"/>
      <w:szCs w:val="18"/>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annotation subject"/>
    <w:basedOn w:val="8"/>
    <w:next w:val="8"/>
    <w:link w:val="47"/>
    <w:semiHidden/>
    <w:unhideWhenUsed/>
    <w:qFormat/>
    <w:uiPriority w:val="0"/>
    <w:rPr>
      <w:b/>
      <w:bCs/>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Emphasis"/>
    <w:basedOn w:val="25"/>
    <w:qFormat/>
    <w:uiPriority w:val="0"/>
    <w:rPr>
      <w:i/>
    </w:rPr>
  </w:style>
  <w:style w:type="character" w:styleId="28">
    <w:name w:val="Hyperlink"/>
    <w:basedOn w:val="25"/>
    <w:unhideWhenUsed/>
    <w:qFormat/>
    <w:uiPriority w:val="99"/>
    <w:rPr>
      <w:color w:val="0563C1" w:themeColor="hyperlink"/>
      <w:u w:val="single"/>
      <w14:textFill>
        <w14:solidFill>
          <w14:schemeClr w14:val="hlink"/>
        </w14:solidFill>
      </w14:textFill>
    </w:rPr>
  </w:style>
  <w:style w:type="character" w:styleId="29">
    <w:name w:val="annotation reference"/>
    <w:basedOn w:val="25"/>
    <w:semiHidden/>
    <w:unhideWhenUsed/>
    <w:qFormat/>
    <w:uiPriority w:val="0"/>
    <w:rPr>
      <w:sz w:val="21"/>
      <w:szCs w:val="21"/>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2">
    <w:name w:val="批注框文本 字符"/>
    <w:basedOn w:val="25"/>
    <w:link w:val="13"/>
    <w:qFormat/>
    <w:uiPriority w:val="0"/>
    <w:rPr>
      <w:rFonts w:eastAsia="仿宋_GB2312" w:asciiTheme="minorHAnsi" w:hAnsiTheme="minorHAnsi" w:cstheme="minorBidi"/>
      <w:kern w:val="2"/>
      <w:sz w:val="18"/>
      <w:szCs w:val="18"/>
    </w:rPr>
  </w:style>
  <w:style w:type="character" w:customStyle="1" w:styleId="33">
    <w:name w:val="发布"/>
    <w:autoRedefine/>
    <w:qFormat/>
    <w:uiPriority w:val="0"/>
    <w:rPr>
      <w:rFonts w:ascii="黑体" w:eastAsia="黑体"/>
      <w:spacing w:val="85"/>
      <w:w w:val="100"/>
      <w:position w:val="3"/>
      <w:sz w:val="28"/>
      <w:szCs w:val="28"/>
    </w:rPr>
  </w:style>
  <w:style w:type="paragraph" w:customStyle="1" w:styleId="34">
    <w:name w:val="发布部门"/>
    <w:next w:val="1"/>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character" w:customStyle="1" w:styleId="35">
    <w:name w:val="页脚 字符"/>
    <w:basedOn w:val="25"/>
    <w:link w:val="14"/>
    <w:qFormat/>
    <w:uiPriority w:val="99"/>
    <w:rPr>
      <w:rFonts w:eastAsia="仿宋_GB2312" w:asciiTheme="minorHAnsi" w:hAnsiTheme="minorHAnsi" w:cstheme="minorBidi"/>
      <w:kern w:val="2"/>
      <w:sz w:val="18"/>
      <w:szCs w:val="24"/>
    </w:rPr>
  </w:style>
  <w:style w:type="paragraph" w:customStyle="1" w:styleId="3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37">
    <w:name w:val="标准标志"/>
    <w:next w:val="1"/>
    <w:qFormat/>
    <w:uiPriority w:val="0"/>
    <w:pPr>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38">
    <w:name w:val="封面标准号2"/>
    <w:qFormat/>
    <w:uiPriority w:val="0"/>
    <w:pPr>
      <w:spacing w:before="357" w:line="280" w:lineRule="exact"/>
      <w:jc w:val="right"/>
    </w:pPr>
    <w:rPr>
      <w:rFonts w:ascii="黑体" w:hAnsi="Times New Roman" w:eastAsia="黑体" w:cs="Times New Roman"/>
      <w:sz w:val="28"/>
      <w:szCs w:val="28"/>
      <w:lang w:val="en-US" w:eastAsia="zh-CN" w:bidi="ar-SA"/>
    </w:rPr>
  </w:style>
  <w:style w:type="paragraph" w:customStyle="1" w:styleId="39">
    <w:name w:val="一级条标题"/>
    <w:next w:val="1"/>
    <w:qFormat/>
    <w:uiPriority w:val="0"/>
    <w:p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0">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41">
    <w:name w:val="章标题"/>
    <w:next w:val="1"/>
    <w:qFormat/>
    <w:uiPriority w:val="0"/>
    <w:pPr>
      <w:spacing w:beforeLines="100" w:afterLines="100"/>
      <w:ind w:left="851"/>
      <w:jc w:val="both"/>
      <w:outlineLvl w:val="1"/>
    </w:pPr>
    <w:rPr>
      <w:rFonts w:ascii="黑体" w:hAnsi="Times New Roman" w:eastAsia="黑体" w:cs="Times New Roman"/>
      <w:sz w:val="21"/>
      <w:lang w:val="en-US" w:eastAsia="zh-CN" w:bidi="ar-SA"/>
    </w:rPr>
  </w:style>
  <w:style w:type="paragraph" w:customStyle="1" w:styleId="42">
    <w:name w:val="段"/>
    <w:link w:val="4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43">
    <w:name w:val="段 Char"/>
    <w:link w:val="42"/>
    <w:qFormat/>
    <w:uiPriority w:val="0"/>
    <w:rPr>
      <w:rFonts w:ascii="宋体"/>
      <w:sz w:val="21"/>
    </w:rPr>
  </w:style>
  <w:style w:type="paragraph" w:customStyle="1" w:styleId="44">
    <w:name w:val="目次、标准名称标题"/>
    <w:basedOn w:val="1"/>
    <w:next w:val="42"/>
    <w:qFormat/>
    <w:uiPriority w:val="0"/>
    <w:pPr>
      <w:keepNext/>
      <w:pageBreakBefore/>
      <w:widowControl/>
      <w:shd w:val="clear" w:color="FFFFFF" w:fill="FFFFFF"/>
      <w:spacing w:before="640" w:after="560" w:line="460" w:lineRule="exact"/>
      <w:jc w:val="center"/>
      <w:outlineLvl w:val="0"/>
    </w:pPr>
    <w:rPr>
      <w:rFonts w:ascii="黑体" w:hAnsi="Times New Roman" w:eastAsia="黑体" w:cs="Times New Roman"/>
      <w:kern w:val="0"/>
      <w:sz w:val="32"/>
      <w:szCs w:val="20"/>
    </w:rPr>
  </w:style>
  <w:style w:type="paragraph" w:customStyle="1" w:styleId="45">
    <w:name w:val="Revision"/>
    <w:hidden/>
    <w:semiHidden/>
    <w:qFormat/>
    <w:uiPriority w:val="99"/>
    <w:rPr>
      <w:rFonts w:eastAsia="仿宋_GB2312" w:asciiTheme="minorHAnsi" w:hAnsiTheme="minorHAnsi" w:cstheme="minorBidi"/>
      <w:kern w:val="2"/>
      <w:sz w:val="28"/>
      <w:szCs w:val="24"/>
      <w:lang w:val="en-US" w:eastAsia="zh-CN" w:bidi="ar-SA"/>
    </w:rPr>
  </w:style>
  <w:style w:type="character" w:customStyle="1" w:styleId="46">
    <w:name w:val="批注文字 字符"/>
    <w:basedOn w:val="25"/>
    <w:link w:val="8"/>
    <w:qFormat/>
    <w:uiPriority w:val="0"/>
    <w:rPr>
      <w:rFonts w:eastAsia="仿宋_GB2312" w:asciiTheme="minorHAnsi" w:hAnsiTheme="minorHAnsi" w:cstheme="minorBidi"/>
      <w:kern w:val="2"/>
      <w:sz w:val="28"/>
      <w:szCs w:val="24"/>
    </w:rPr>
  </w:style>
  <w:style w:type="character" w:customStyle="1" w:styleId="47">
    <w:name w:val="批注主题 字符"/>
    <w:basedOn w:val="46"/>
    <w:link w:val="22"/>
    <w:semiHidden/>
    <w:qFormat/>
    <w:uiPriority w:val="0"/>
    <w:rPr>
      <w:rFonts w:eastAsia="仿宋_GB2312" w:asciiTheme="minorHAnsi" w:hAnsiTheme="minorHAnsi" w:cstheme="minorBidi"/>
      <w:b/>
      <w:bCs/>
      <w:kern w:val="2"/>
      <w:sz w:val="28"/>
      <w:szCs w:val="24"/>
    </w:rPr>
  </w:style>
  <w:style w:type="paragraph" w:customStyle="1" w:styleId="48">
    <w:name w:val="Table Text"/>
    <w:basedOn w:val="1"/>
    <w:autoRedefine/>
    <w:semiHidden/>
    <w:qFormat/>
    <w:uiPriority w:val="0"/>
    <w:rPr>
      <w:rFonts w:ascii="宋体" w:hAnsi="宋体" w:eastAsia="宋体" w:cs="宋体"/>
      <w:sz w:val="19"/>
      <w:szCs w:val="19"/>
      <w:lang w:val="en-US" w:eastAsia="en-US" w:bidi="ar-SA"/>
    </w:rPr>
  </w:style>
  <w:style w:type="table" w:customStyle="1" w:styleId="49">
    <w:name w:val="Table Normal"/>
    <w:autoRedefine/>
    <w:semiHidden/>
    <w:unhideWhenUsed/>
    <w:qFormat/>
    <w:uiPriority w:val="0"/>
    <w:tblPr>
      <w:tblCellMar>
        <w:top w:w="0" w:type="dxa"/>
        <w:left w:w="0" w:type="dxa"/>
        <w:bottom w:w="0" w:type="dxa"/>
        <w:right w:w="0" w:type="dxa"/>
      </w:tblCellMar>
    </w:tblPr>
  </w:style>
  <w:style w:type="paragraph" w:customStyle="1" w:styleId="50">
    <w:name w:val="终结线"/>
    <w:basedOn w:val="1"/>
    <w:autoRedefine/>
    <w:qFormat/>
    <w:uiPriority w:val="0"/>
    <w:pPr>
      <w:framePr w:hSpace="181" w:vSpace="181" w:wrap="around" w:vAnchor="text" w:hAnchor="margin" w:xAlign="center" w:y="285"/>
    </w:pPr>
  </w:style>
  <w:style w:type="character" w:customStyle="1" w:styleId="51">
    <w:name w:val="font11"/>
    <w:basedOn w:val="25"/>
    <w:autoRedefine/>
    <w:qFormat/>
    <w:uiPriority w:val="0"/>
    <w:rPr>
      <w:rFonts w:hint="eastAsia" w:ascii="方正仿宋简体" w:hAnsi="方正仿宋简体" w:eastAsia="方正仿宋简体" w:cs="方正仿宋简体"/>
      <w:color w:val="000000"/>
      <w:sz w:val="21"/>
      <w:szCs w:val="21"/>
      <w:u w:val="none"/>
    </w:rPr>
  </w:style>
  <w:style w:type="character" w:customStyle="1" w:styleId="52">
    <w:name w:val="font21"/>
    <w:basedOn w:val="25"/>
    <w:autoRedefine/>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image" Target="media/image2.jpe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WORKGROUP</Company>
  <Pages>17</Pages>
  <Words>7957</Words>
  <Characters>8672</Characters>
  <Lines>63</Lines>
  <Paragraphs>17</Paragraphs>
  <TotalTime>16</TotalTime>
  <ScaleCrop>false</ScaleCrop>
  <LinksUpToDate>false</LinksUpToDate>
  <CharactersWithSpaces>8893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2022-10-12T22:36:00Z</dcterms:created>
  <dc:creator>admin</dc:creator>
  <cp:lastModifiedBy>牙牙</cp:lastModifiedBy>
  <dcterms:modified xsi:type="dcterms:W3CDTF">2025-03-07T05:13:50Z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6261E4AF2BF94B498C416EA5231E8D6B_13</vt:lpwstr>
  </property>
  <property fmtid="{D5CDD505-2E9C-101B-9397-08002B2CF9AE}" pid="4" name="KSOTemplateDocerSaveRecord">
    <vt:lpwstr>eyJoZGlkIjoiNjU1ZTE0ZGZmMmQ4Y2IwNzZjNWQ1MjcxM2RlMDRiMjgiLCJ1c2VySWQiOiIzOTA2ODgyNjYifQ==</vt:lpwstr>
  </property>
</Properties>
</file>