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7"/>
        <w:ind w:left="398"/>
        <w:rPr>
          <w:sz w:val="21"/>
        </w:rPr>
      </w:pPr>
      <w:r>
        <w:rPr>
          <w:spacing w:val="-18"/>
          <w:sz w:val="21"/>
        </w:rPr>
        <w:t xml:space="preserve">附件 </w:t>
      </w:r>
      <w:r>
        <w:rPr>
          <w:sz w:val="21"/>
        </w:rPr>
        <w:t>7：</w:t>
      </w:r>
    </w:p>
    <w:p>
      <w:pPr>
        <w:spacing w:before="459" w:line="751" w:lineRule="exact"/>
        <w:ind w:left="380" w:right="2115"/>
        <w:jc w:val="center"/>
        <w:rPr>
          <w:rFonts w:ascii="Arial Unicode MS" w:eastAsia="Arial Unicode MS"/>
          <w:sz w:val="44"/>
        </w:rPr>
      </w:pPr>
      <w:r>
        <w:br w:type="column"/>
      </w:r>
      <w:r>
        <w:rPr>
          <w:rFonts w:hint="eastAsia" w:ascii="Arial Unicode MS" w:eastAsia="Arial Unicode MS"/>
          <w:sz w:val="44"/>
        </w:rPr>
        <w:t>认证认可行业标准草案编制说明</w:t>
      </w:r>
    </w:p>
    <w:p>
      <w:pPr>
        <w:spacing w:line="293" w:lineRule="exact"/>
        <w:ind w:left="380" w:right="2105"/>
        <w:jc w:val="center"/>
        <w:rPr>
          <w:sz w:val="24"/>
        </w:rPr>
      </w:pPr>
      <w:r>
        <w:rPr>
          <w:sz w:val="24"/>
        </w:rPr>
        <w:t>（</w:t>
      </w:r>
      <w:r>
        <w:rPr>
          <w:sz w:val="21"/>
        </w:rPr>
        <w:t>参考格式</w:t>
      </w:r>
      <w:r>
        <w:rPr>
          <w:sz w:val="24"/>
        </w:rPr>
        <w:t>）</w:t>
      </w:r>
    </w:p>
    <w:p>
      <w:pPr>
        <w:spacing w:line="293" w:lineRule="exact"/>
        <w:jc w:val="center"/>
        <w:rPr>
          <w:sz w:val="24"/>
        </w:rPr>
        <w:sectPr>
          <w:footerReference r:id="rId3" w:type="default"/>
          <w:type w:val="continuous"/>
          <w:pgSz w:w="11910" w:h="16850"/>
          <w:pgMar w:top="1600" w:right="740" w:bottom="1500" w:left="1020" w:header="720" w:footer="1316" w:gutter="0"/>
          <w:pgNumType w:start="1"/>
          <w:cols w:equalWidth="0" w:num="2">
            <w:col w:w="1229" w:space="225"/>
            <w:col w:w="8696"/>
          </w:cols>
        </w:sectPr>
      </w:pPr>
    </w:p>
    <w:p>
      <w:pPr>
        <w:rPr>
          <w:sz w:val="8"/>
        </w:rPr>
      </w:pPr>
      <w:bookmarkStart w:id="0" w:name="_GoBack"/>
      <w:bookmarkEnd w:id="0"/>
      <w:r>
        <w:rPr>
          <w:lang w:val="en-US" w:bidi="ar-SA"/>
        </w:rPr>
        <w:pict>
          <v:shape id="_x0000_s1026" o:spid="_x0000_s1026" o:spt="202" type="#_x0000_t202" style="position:absolute;left:0pt;margin-left:62.65pt;margin-top:4.85pt;height:603.25pt;width:491.25pt;mso-position-horizontal-relative:page;z-index:251660288;mso-width-relative:page;mso-height-relative:page;" filled="f" stroked="f" coordsize="21600,21600" o:gfxdata="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FI2/ULZAAAADAEAAA8AAAAAAAAAAQAgAAAAIgAAAGRycy9kb3ducmV2LnhtbFBL&#10;AQIUABQAAAAIAIdO4kAxfQ0cvAEAAHMDAAAOAAAAAAAAAAEAIAAAACgBAABkcnMvZTJvRG9jLnht&#10;bFBLBQYAAAAABgAGAFkBAABWBQAAAAA=&#10;">
            <v:path/>
            <v:fill on="f" focussize="0,0"/>
            <v:stroke on="f" joinstyle="miter"/>
            <v:imagedata o:title=""/>
            <o:lock v:ext="edit"/>
            <v:textbox inset="0mm,0mm,0mm,0mm">
              <w:txbxContent>
                <w:tbl>
                  <w:tblPr>
                    <w:tblStyle w:val="7"/>
                    <w:tblW w:w="9553"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58"/>
                    <w:gridCol w:w="1650"/>
                    <w:gridCol w:w="1215"/>
                    <w:gridCol w:w="1755"/>
                    <w:gridCol w:w="1204"/>
                    <w:gridCol w:w="17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1958" w:type="dxa"/>
                        <w:vMerge w:val="restart"/>
                        <w:tcBorders>
                          <w:bottom w:val="single" w:color="000000" w:sz="6" w:space="0"/>
                        </w:tcBorders>
                      </w:tcPr>
                      <w:p>
                        <w:pPr>
                          <w:pStyle w:val="11"/>
                          <w:spacing w:before="2"/>
                          <w:rPr>
                            <w:rFonts w:ascii="Microsoft JhengHei"/>
                            <w:b/>
                            <w:sz w:val="23"/>
                          </w:rPr>
                        </w:pPr>
                      </w:p>
                      <w:p>
                        <w:pPr>
                          <w:pStyle w:val="11"/>
                          <w:spacing w:before="1" w:line="244" w:lineRule="auto"/>
                          <w:ind w:left="172" w:right="190"/>
                          <w:rPr>
                            <w:sz w:val="21"/>
                          </w:rPr>
                        </w:pPr>
                        <w:r>
                          <w:rPr>
                            <w:sz w:val="21"/>
                          </w:rPr>
                          <w:t>1.1 标准草案名称</w:t>
                        </w:r>
                      </w:p>
                    </w:tc>
                    <w:tc>
                      <w:tcPr>
                        <w:tcW w:w="1650" w:type="dxa"/>
                      </w:tcPr>
                      <w:p>
                        <w:pPr>
                          <w:pStyle w:val="11"/>
                          <w:spacing w:before="150"/>
                          <w:ind w:left="58" w:right="50"/>
                          <w:jc w:val="center"/>
                          <w:rPr>
                            <w:sz w:val="21"/>
                          </w:rPr>
                        </w:pPr>
                        <w:r>
                          <w:rPr>
                            <w:sz w:val="21"/>
                          </w:rPr>
                          <w:t>中文</w:t>
                        </w:r>
                      </w:p>
                    </w:tc>
                    <w:tc>
                      <w:tcPr>
                        <w:tcW w:w="5945" w:type="dxa"/>
                        <w:gridSpan w:val="4"/>
                        <w:tcBorders>
                          <w:right w:val="single" w:color="000000" w:sz="6" w:space="0"/>
                        </w:tcBorders>
                      </w:tcPr>
                      <w:p>
                        <w:pPr>
                          <w:pStyle w:val="11"/>
                          <w:spacing w:before="2"/>
                          <w:rPr>
                            <w:rFonts w:ascii="Microsoft JhengHei"/>
                            <w:b/>
                            <w:sz w:val="9"/>
                          </w:rPr>
                        </w:pPr>
                      </w:p>
                      <w:p>
                        <w:pPr>
                          <w:pStyle w:val="11"/>
                          <w:ind w:left="24"/>
                          <w:rPr>
                            <w:sz w:val="18"/>
                          </w:rPr>
                        </w:pPr>
                        <w:r>
                          <w:rPr>
                            <w:rFonts w:hint="eastAsia"/>
                            <w:sz w:val="18"/>
                          </w:rPr>
                          <w:t>能源管理体系 公共建筑管理组织认证要求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atLeast"/>
                    </w:trPr>
                    <w:tc>
                      <w:tcPr>
                        <w:tcW w:w="1958" w:type="dxa"/>
                        <w:vMerge w:val="continue"/>
                        <w:tcBorders>
                          <w:top w:val="nil"/>
                          <w:bottom w:val="single" w:color="000000" w:sz="6" w:space="0"/>
                        </w:tcBorders>
                      </w:tcPr>
                      <w:p>
                        <w:pPr>
                          <w:rPr>
                            <w:sz w:val="2"/>
                            <w:szCs w:val="2"/>
                          </w:rPr>
                        </w:pPr>
                      </w:p>
                    </w:tc>
                    <w:tc>
                      <w:tcPr>
                        <w:tcW w:w="1650" w:type="dxa"/>
                        <w:tcBorders>
                          <w:bottom w:val="single" w:color="000000" w:sz="6" w:space="0"/>
                        </w:tcBorders>
                      </w:tcPr>
                      <w:p>
                        <w:pPr>
                          <w:pStyle w:val="11"/>
                          <w:spacing w:before="12"/>
                          <w:rPr>
                            <w:rFonts w:ascii="Microsoft JhengHei"/>
                            <w:b/>
                            <w:sz w:val="14"/>
                          </w:rPr>
                        </w:pPr>
                      </w:p>
                      <w:p>
                        <w:pPr>
                          <w:pStyle w:val="11"/>
                          <w:ind w:left="58" w:right="50"/>
                          <w:jc w:val="center"/>
                          <w:rPr>
                            <w:sz w:val="21"/>
                          </w:rPr>
                        </w:pPr>
                        <w:r>
                          <w:rPr>
                            <w:sz w:val="21"/>
                          </w:rPr>
                          <w:t>英文</w:t>
                        </w:r>
                      </w:p>
                    </w:tc>
                    <w:tc>
                      <w:tcPr>
                        <w:tcW w:w="5945" w:type="dxa"/>
                        <w:gridSpan w:val="4"/>
                        <w:tcBorders>
                          <w:bottom w:val="single" w:color="000000" w:sz="6" w:space="0"/>
                          <w:right w:val="single" w:color="000000" w:sz="6" w:space="0"/>
                        </w:tcBorders>
                      </w:tcPr>
                      <w:p>
                        <w:pPr>
                          <w:pStyle w:val="11"/>
                          <w:spacing w:line="268" w:lineRule="exact"/>
                          <w:ind w:left="24"/>
                          <w:rPr>
                            <w:sz w:val="21"/>
                            <w:lang w:val="en-US"/>
                          </w:rPr>
                        </w:pPr>
                        <w:r>
                          <w:rPr>
                            <w:sz w:val="21"/>
                            <w:lang w:val="en-US"/>
                          </w:rPr>
                          <w:t>Energy management systems--</w:t>
                        </w:r>
                      </w:p>
                      <w:p>
                        <w:pPr>
                          <w:pStyle w:val="11"/>
                          <w:spacing w:before="4" w:line="250" w:lineRule="exact"/>
                          <w:ind w:left="24"/>
                          <w:rPr>
                            <w:sz w:val="21"/>
                            <w:lang w:val="en-US"/>
                          </w:rPr>
                        </w:pPr>
                        <w:r>
                          <w:rPr>
                            <w:rFonts w:hint="eastAsia"/>
                            <w:sz w:val="21"/>
                            <w:lang w:val="en-US"/>
                          </w:rPr>
                          <w:t>Certification requirements for public building management organization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1958" w:type="dxa"/>
                        <w:vMerge w:val="restart"/>
                        <w:tcBorders>
                          <w:top w:val="single" w:color="000000" w:sz="6" w:space="0"/>
                          <w:left w:val="single" w:color="000000" w:sz="6" w:space="0"/>
                          <w:bottom w:val="single" w:color="000000" w:sz="6" w:space="0"/>
                        </w:tcBorders>
                      </w:tcPr>
                      <w:p>
                        <w:pPr>
                          <w:pStyle w:val="11"/>
                          <w:spacing w:before="1"/>
                          <w:rPr>
                            <w:rFonts w:ascii="Microsoft JhengHei"/>
                            <w:b/>
                            <w:lang w:val="en-US"/>
                          </w:rPr>
                        </w:pPr>
                      </w:p>
                      <w:p>
                        <w:pPr>
                          <w:pStyle w:val="11"/>
                          <w:spacing w:before="1" w:line="242" w:lineRule="auto"/>
                          <w:ind w:left="170" w:right="160"/>
                          <w:jc w:val="both"/>
                          <w:rPr>
                            <w:sz w:val="21"/>
                          </w:rPr>
                        </w:pPr>
                        <w:r>
                          <w:rPr>
                            <w:sz w:val="21"/>
                          </w:rPr>
                          <w:t>1.2 与国际标准和国外先进标准一致性程度情况</w:t>
                        </w:r>
                      </w:p>
                    </w:tc>
                    <w:tc>
                      <w:tcPr>
                        <w:tcW w:w="1650" w:type="dxa"/>
                        <w:vMerge w:val="restart"/>
                        <w:tcBorders>
                          <w:top w:val="single" w:color="000000" w:sz="6" w:space="0"/>
                          <w:bottom w:val="single" w:color="000000" w:sz="6" w:space="0"/>
                        </w:tcBorders>
                      </w:tcPr>
                      <w:p>
                        <w:pPr>
                          <w:pStyle w:val="11"/>
                          <w:spacing w:before="1"/>
                          <w:rPr>
                            <w:rFonts w:ascii="Microsoft JhengHei"/>
                            <w:b/>
                          </w:rPr>
                        </w:pPr>
                      </w:p>
                      <w:p>
                        <w:pPr>
                          <w:pStyle w:val="11"/>
                          <w:spacing w:before="1"/>
                          <w:ind w:left="28"/>
                          <w:rPr>
                            <w:sz w:val="21"/>
                          </w:rPr>
                        </w:pPr>
                        <w:r>
                          <w:rPr>
                            <w:spacing w:val="-1"/>
                            <w:sz w:val="21"/>
                          </w:rPr>
                          <w:t>□等同采用</w:t>
                        </w:r>
                      </w:p>
                      <w:p>
                        <w:pPr>
                          <w:pStyle w:val="11"/>
                          <w:spacing w:before="2"/>
                          <w:ind w:left="28"/>
                          <w:rPr>
                            <w:sz w:val="21"/>
                          </w:rPr>
                        </w:pPr>
                        <w:r>
                          <w:rPr>
                            <w:spacing w:val="-1"/>
                            <w:sz w:val="21"/>
                          </w:rPr>
                          <w:t>□修改采用</w:t>
                        </w:r>
                      </w:p>
                      <w:p>
                        <w:pPr>
                          <w:pStyle w:val="11"/>
                          <w:spacing w:before="4"/>
                          <w:ind w:left="28"/>
                          <w:rPr>
                            <w:sz w:val="21"/>
                          </w:rPr>
                        </w:pPr>
                        <w:r>
                          <w:rPr>
                            <w:sz w:val="21"/>
                          </w:rPr>
                          <w:t>□非等效采用</w:t>
                        </w:r>
                      </w:p>
                      <w:p>
                        <w:pPr>
                          <w:pStyle w:val="11"/>
                          <w:numPr>
                            <w:ilvl w:val="0"/>
                            <w:numId w:val="1"/>
                          </w:numPr>
                          <w:tabs>
                            <w:tab w:val="left" w:pos="241"/>
                          </w:tabs>
                          <w:spacing w:before="2"/>
                          <w:rPr>
                            <w:sz w:val="21"/>
                          </w:rPr>
                        </w:pPr>
                        <w:r>
                          <w:rPr>
                            <w:spacing w:val="-2"/>
                            <w:sz w:val="21"/>
                          </w:rPr>
                          <w:t>未采用</w:t>
                        </w:r>
                      </w:p>
                    </w:tc>
                    <w:tc>
                      <w:tcPr>
                        <w:tcW w:w="1215" w:type="dxa"/>
                        <w:tcBorders>
                          <w:top w:val="single" w:color="000000" w:sz="6" w:space="0"/>
                        </w:tcBorders>
                      </w:tcPr>
                      <w:p>
                        <w:pPr>
                          <w:pStyle w:val="11"/>
                          <w:spacing w:before="169"/>
                          <w:ind w:left="153"/>
                          <w:rPr>
                            <w:sz w:val="21"/>
                          </w:rPr>
                        </w:pPr>
                        <w:r>
                          <w:rPr>
                            <w:sz w:val="21"/>
                          </w:rPr>
                          <w:t>标准编号</w:t>
                        </w:r>
                      </w:p>
                    </w:tc>
                    <w:tc>
                      <w:tcPr>
                        <w:tcW w:w="4730" w:type="dxa"/>
                        <w:gridSpan w:val="3"/>
                        <w:tcBorders>
                          <w:top w:val="single" w:color="000000" w:sz="6" w:space="0"/>
                          <w:right w:val="single" w:color="000000" w:sz="6" w:space="0"/>
                        </w:tcBorders>
                      </w:tcPr>
                      <w:p>
                        <w:pPr>
                          <w:pStyle w:val="11"/>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1958" w:type="dxa"/>
                        <w:vMerge w:val="continue"/>
                        <w:tcBorders>
                          <w:top w:val="nil"/>
                          <w:left w:val="single" w:color="000000" w:sz="6" w:space="0"/>
                          <w:bottom w:val="single" w:color="000000" w:sz="6" w:space="0"/>
                        </w:tcBorders>
                      </w:tcPr>
                      <w:p>
                        <w:pPr>
                          <w:rPr>
                            <w:sz w:val="2"/>
                            <w:szCs w:val="2"/>
                          </w:rPr>
                        </w:pPr>
                      </w:p>
                    </w:tc>
                    <w:tc>
                      <w:tcPr>
                        <w:tcW w:w="1650" w:type="dxa"/>
                        <w:vMerge w:val="continue"/>
                        <w:tcBorders>
                          <w:top w:val="nil"/>
                          <w:bottom w:val="single" w:color="000000" w:sz="6" w:space="0"/>
                        </w:tcBorders>
                      </w:tcPr>
                      <w:p>
                        <w:pPr>
                          <w:rPr>
                            <w:sz w:val="2"/>
                            <w:szCs w:val="2"/>
                          </w:rPr>
                        </w:pPr>
                      </w:p>
                    </w:tc>
                    <w:tc>
                      <w:tcPr>
                        <w:tcW w:w="1215" w:type="dxa"/>
                      </w:tcPr>
                      <w:p>
                        <w:pPr>
                          <w:pStyle w:val="11"/>
                          <w:spacing w:before="13"/>
                          <w:rPr>
                            <w:rFonts w:ascii="Microsoft JhengHei"/>
                            <w:b/>
                            <w:sz w:val="10"/>
                          </w:rPr>
                        </w:pPr>
                      </w:p>
                      <w:p>
                        <w:pPr>
                          <w:pStyle w:val="11"/>
                          <w:spacing w:before="1"/>
                          <w:ind w:left="153"/>
                          <w:rPr>
                            <w:sz w:val="21"/>
                          </w:rPr>
                        </w:pPr>
                        <w:r>
                          <w:rPr>
                            <w:sz w:val="21"/>
                          </w:rPr>
                          <w:t>英文名称</w:t>
                        </w:r>
                      </w:p>
                    </w:tc>
                    <w:tc>
                      <w:tcPr>
                        <w:tcW w:w="4730" w:type="dxa"/>
                        <w:gridSpan w:val="3"/>
                        <w:tcBorders>
                          <w:right w:val="single" w:color="000000" w:sz="6" w:space="0"/>
                        </w:tcBorders>
                      </w:tcPr>
                      <w:p>
                        <w:pPr>
                          <w:pStyle w:val="11"/>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1958" w:type="dxa"/>
                        <w:vMerge w:val="continue"/>
                        <w:tcBorders>
                          <w:top w:val="nil"/>
                          <w:left w:val="single" w:color="000000" w:sz="6" w:space="0"/>
                          <w:bottom w:val="single" w:color="000000" w:sz="6" w:space="0"/>
                        </w:tcBorders>
                      </w:tcPr>
                      <w:p>
                        <w:pPr>
                          <w:rPr>
                            <w:sz w:val="2"/>
                            <w:szCs w:val="2"/>
                          </w:rPr>
                        </w:pPr>
                      </w:p>
                    </w:tc>
                    <w:tc>
                      <w:tcPr>
                        <w:tcW w:w="1650" w:type="dxa"/>
                        <w:vMerge w:val="continue"/>
                        <w:tcBorders>
                          <w:top w:val="nil"/>
                          <w:bottom w:val="single" w:color="000000" w:sz="6" w:space="0"/>
                        </w:tcBorders>
                      </w:tcPr>
                      <w:p>
                        <w:pPr>
                          <w:rPr>
                            <w:sz w:val="2"/>
                            <w:szCs w:val="2"/>
                          </w:rPr>
                        </w:pPr>
                      </w:p>
                    </w:tc>
                    <w:tc>
                      <w:tcPr>
                        <w:tcW w:w="1215" w:type="dxa"/>
                        <w:tcBorders>
                          <w:bottom w:val="single" w:color="000000" w:sz="6" w:space="0"/>
                        </w:tcBorders>
                      </w:tcPr>
                      <w:p>
                        <w:pPr>
                          <w:pStyle w:val="11"/>
                          <w:spacing w:before="169"/>
                          <w:ind w:left="153"/>
                          <w:rPr>
                            <w:sz w:val="21"/>
                          </w:rPr>
                        </w:pPr>
                        <w:r>
                          <w:rPr>
                            <w:sz w:val="21"/>
                          </w:rPr>
                          <w:t>中文名称</w:t>
                        </w:r>
                      </w:p>
                    </w:tc>
                    <w:tc>
                      <w:tcPr>
                        <w:tcW w:w="4730" w:type="dxa"/>
                        <w:gridSpan w:val="3"/>
                        <w:tcBorders>
                          <w:bottom w:val="single" w:color="000000" w:sz="6" w:space="0"/>
                          <w:right w:val="single" w:color="000000" w:sz="6" w:space="0"/>
                        </w:tcBorders>
                      </w:tcPr>
                      <w:p>
                        <w:pPr>
                          <w:pStyle w:val="11"/>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1958" w:type="dxa"/>
                        <w:tcBorders>
                          <w:top w:val="single" w:color="000000" w:sz="6" w:space="0"/>
                          <w:left w:val="single" w:color="000000" w:sz="6" w:space="0"/>
                          <w:bottom w:val="single" w:color="000000" w:sz="6" w:space="0"/>
                        </w:tcBorders>
                      </w:tcPr>
                      <w:p>
                        <w:pPr>
                          <w:pStyle w:val="11"/>
                          <w:spacing w:before="4"/>
                          <w:rPr>
                            <w:rFonts w:ascii="Microsoft JhengHei"/>
                            <w:b/>
                          </w:rPr>
                        </w:pPr>
                      </w:p>
                      <w:p>
                        <w:pPr>
                          <w:pStyle w:val="11"/>
                          <w:ind w:left="170"/>
                          <w:rPr>
                            <w:sz w:val="21"/>
                          </w:rPr>
                        </w:pPr>
                        <w:r>
                          <w:rPr>
                            <w:sz w:val="21"/>
                          </w:rPr>
                          <w:t>1.3 任务来源</w:t>
                        </w:r>
                      </w:p>
                    </w:tc>
                    <w:tc>
                      <w:tcPr>
                        <w:tcW w:w="1650" w:type="dxa"/>
                        <w:tcBorders>
                          <w:top w:val="single" w:color="000000" w:sz="6" w:space="0"/>
                          <w:bottom w:val="single" w:color="000000" w:sz="6" w:space="0"/>
                        </w:tcBorders>
                      </w:tcPr>
                      <w:p>
                        <w:pPr>
                          <w:pStyle w:val="11"/>
                          <w:spacing w:before="137" w:line="242" w:lineRule="auto"/>
                          <w:ind w:left="61" w:right="50"/>
                          <w:jc w:val="center"/>
                          <w:rPr>
                            <w:sz w:val="21"/>
                          </w:rPr>
                        </w:pPr>
                        <w:r>
                          <w:rPr>
                            <w:sz w:val="21"/>
                          </w:rPr>
                          <w:t>批准立项的文件名称和文件号</w:t>
                        </w:r>
                      </w:p>
                    </w:tc>
                    <w:tc>
                      <w:tcPr>
                        <w:tcW w:w="2970" w:type="dxa"/>
                        <w:gridSpan w:val="2"/>
                        <w:tcBorders>
                          <w:top w:val="single" w:color="000000" w:sz="6" w:space="0"/>
                          <w:bottom w:val="single" w:color="000000" w:sz="6" w:space="0"/>
                        </w:tcBorders>
                      </w:tcPr>
                      <w:p>
                        <w:pPr>
                          <w:pStyle w:val="11"/>
                          <w:spacing w:before="1" w:line="242" w:lineRule="auto"/>
                          <w:ind w:left="24" w:right="185"/>
                          <w:jc w:val="both"/>
                          <w:rPr>
                            <w:sz w:val="21"/>
                          </w:rPr>
                        </w:pPr>
                        <w:r>
                          <w:rPr>
                            <w:sz w:val="21"/>
                          </w:rPr>
                          <w:t>《认监委关于</w:t>
                        </w:r>
                        <w:r>
                          <w:rPr>
                            <w:rFonts w:hint="eastAsia"/>
                            <w:sz w:val="21"/>
                            <w:lang w:val="en-US"/>
                          </w:rPr>
                          <w:t>印发&lt;</w:t>
                        </w:r>
                        <w:r>
                          <w:rPr>
                            <w:sz w:val="21"/>
                          </w:rPr>
                          <w:t>认证认可行业标准制修订计划</w:t>
                        </w:r>
                        <w:r>
                          <w:rPr>
                            <w:rFonts w:hint="eastAsia"/>
                            <w:sz w:val="21"/>
                            <w:lang w:val="en-US"/>
                          </w:rPr>
                          <w:t>&gt;</w:t>
                        </w:r>
                        <w:r>
                          <w:rPr>
                            <w:sz w:val="21"/>
                          </w:rPr>
                          <w:t>的通知》 国认监 [20</w:t>
                        </w:r>
                        <w:r>
                          <w:rPr>
                            <w:rFonts w:hint="eastAsia"/>
                            <w:sz w:val="21"/>
                            <w:lang w:val="en-US"/>
                          </w:rPr>
                          <w:t>20</w:t>
                        </w:r>
                        <w:r>
                          <w:rPr>
                            <w:sz w:val="21"/>
                          </w:rPr>
                          <w:t>]</w:t>
                        </w:r>
                        <w:r>
                          <w:rPr>
                            <w:rFonts w:hint="eastAsia"/>
                            <w:sz w:val="21"/>
                            <w:lang w:val="en-US"/>
                          </w:rPr>
                          <w:t>8</w:t>
                        </w:r>
                        <w:r>
                          <w:rPr>
                            <w:sz w:val="21"/>
                          </w:rPr>
                          <w:t>号</w:t>
                        </w:r>
                      </w:p>
                    </w:tc>
                    <w:tc>
                      <w:tcPr>
                        <w:tcW w:w="1204" w:type="dxa"/>
                        <w:tcBorders>
                          <w:top w:val="single" w:color="000000" w:sz="6" w:space="0"/>
                          <w:bottom w:val="single" w:color="000000" w:sz="6" w:space="0"/>
                        </w:tcBorders>
                      </w:tcPr>
                      <w:p>
                        <w:pPr>
                          <w:pStyle w:val="11"/>
                          <w:spacing w:before="4"/>
                          <w:rPr>
                            <w:rFonts w:ascii="Microsoft JhengHei"/>
                            <w:b/>
                          </w:rPr>
                        </w:pPr>
                      </w:p>
                      <w:p>
                        <w:pPr>
                          <w:pStyle w:val="11"/>
                          <w:ind w:left="212"/>
                          <w:rPr>
                            <w:sz w:val="21"/>
                          </w:rPr>
                        </w:pPr>
                        <w:r>
                          <w:rPr>
                            <w:sz w:val="21"/>
                          </w:rPr>
                          <w:t>计划编号</w:t>
                        </w:r>
                      </w:p>
                    </w:tc>
                    <w:tc>
                      <w:tcPr>
                        <w:tcW w:w="1771" w:type="dxa"/>
                        <w:tcBorders>
                          <w:top w:val="single" w:color="000000" w:sz="6" w:space="0"/>
                          <w:bottom w:val="single" w:color="000000" w:sz="6" w:space="0"/>
                          <w:right w:val="single" w:color="000000" w:sz="6" w:space="0"/>
                        </w:tcBorders>
                      </w:tcPr>
                      <w:p>
                        <w:pPr>
                          <w:pStyle w:val="11"/>
                          <w:spacing w:before="4"/>
                          <w:rPr>
                            <w:rFonts w:ascii="Microsoft JhengHei"/>
                            <w:b/>
                          </w:rPr>
                        </w:pPr>
                      </w:p>
                      <w:p>
                        <w:pPr>
                          <w:pStyle w:val="11"/>
                          <w:ind w:left="29"/>
                          <w:rPr>
                            <w:sz w:val="21"/>
                            <w:lang w:val="en-US"/>
                          </w:rPr>
                        </w:pPr>
                        <w:r>
                          <w:rPr>
                            <w:sz w:val="21"/>
                          </w:rPr>
                          <w:t>20</w:t>
                        </w:r>
                        <w:r>
                          <w:rPr>
                            <w:rFonts w:hint="eastAsia"/>
                            <w:sz w:val="21"/>
                            <w:lang w:val="en-US"/>
                          </w:rPr>
                          <w:t>20</w:t>
                        </w:r>
                        <w:r>
                          <w:rPr>
                            <w:sz w:val="21"/>
                          </w:rPr>
                          <w:t>RB0</w:t>
                        </w:r>
                        <w:r>
                          <w:rPr>
                            <w:rFonts w:hint="eastAsia"/>
                            <w:sz w:val="21"/>
                            <w:lang w:val="en-US"/>
                          </w:rPr>
                          <w:t>11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atLeast"/>
                    </w:trPr>
                    <w:tc>
                      <w:tcPr>
                        <w:tcW w:w="1958" w:type="dxa"/>
                        <w:tcBorders>
                          <w:top w:val="single" w:color="000000" w:sz="6" w:space="0"/>
                          <w:left w:val="single" w:color="000000" w:sz="6" w:space="0"/>
                          <w:bottom w:val="single" w:color="000000" w:sz="6" w:space="0"/>
                          <w:right w:val="single" w:color="000000" w:sz="6" w:space="0"/>
                        </w:tcBorders>
                      </w:tcPr>
                      <w:p>
                        <w:pPr>
                          <w:pStyle w:val="11"/>
                          <w:spacing w:before="7"/>
                          <w:rPr>
                            <w:rFonts w:ascii="Microsoft JhengHei"/>
                            <w:b/>
                          </w:rPr>
                        </w:pPr>
                      </w:p>
                      <w:p>
                        <w:pPr>
                          <w:pStyle w:val="11"/>
                          <w:ind w:left="170"/>
                          <w:rPr>
                            <w:sz w:val="21"/>
                          </w:rPr>
                        </w:pPr>
                        <w:r>
                          <w:rPr>
                            <w:sz w:val="21"/>
                          </w:rPr>
                          <w:t>1.4 制（修）订</w:t>
                        </w:r>
                      </w:p>
                    </w:tc>
                    <w:tc>
                      <w:tcPr>
                        <w:tcW w:w="7595" w:type="dxa"/>
                        <w:gridSpan w:val="5"/>
                        <w:tcBorders>
                          <w:top w:val="single" w:color="000000" w:sz="6" w:space="0"/>
                          <w:left w:val="single" w:color="000000" w:sz="6" w:space="0"/>
                          <w:bottom w:val="single" w:color="000000" w:sz="6" w:space="0"/>
                          <w:right w:val="single" w:color="000000" w:sz="6" w:space="0"/>
                        </w:tcBorders>
                      </w:tcPr>
                      <w:p>
                        <w:pPr>
                          <w:pStyle w:val="11"/>
                          <w:spacing w:before="1"/>
                          <w:rPr>
                            <w:rFonts w:ascii="Microsoft JhengHei"/>
                            <w:b/>
                            <w:sz w:val="12"/>
                          </w:rPr>
                        </w:pPr>
                      </w:p>
                      <w:p>
                        <w:pPr>
                          <w:pStyle w:val="11"/>
                          <w:tabs>
                            <w:tab w:val="left" w:pos="1182"/>
                            <w:tab w:val="left" w:pos="2704"/>
                          </w:tabs>
                          <w:spacing w:line="254" w:lineRule="auto"/>
                          <w:ind w:left="25" w:right="7"/>
                          <w:rPr>
                            <w:sz w:val="21"/>
                          </w:rPr>
                        </w:pPr>
                        <w:r>
                          <w:rPr>
                            <w:sz w:val="21"/>
                          </w:rPr>
                          <w:t>□制定</w:t>
                        </w:r>
                        <w:r>
                          <w:rPr>
                            <w:sz w:val="21"/>
                          </w:rPr>
                          <w:tab/>
                        </w:r>
                        <w:r>
                          <w:rPr>
                            <w:spacing w:val="-3"/>
                            <w:sz w:val="21"/>
                          </w:rPr>
                          <w:t>■</w:t>
                        </w:r>
                        <w:r>
                          <w:rPr>
                            <w:sz w:val="21"/>
                          </w:rPr>
                          <w:t>修</w:t>
                        </w:r>
                        <w:r>
                          <w:rPr>
                            <w:spacing w:val="-10"/>
                            <w:sz w:val="21"/>
                          </w:rPr>
                          <w:t>订</w:t>
                        </w:r>
                        <w:r>
                          <w:rPr>
                            <w:sz w:val="21"/>
                          </w:rPr>
                          <w:t>（被修订标准名称及编号：</w:t>
                        </w:r>
                        <w:r>
                          <w:rPr>
                            <w:rFonts w:hint="eastAsia"/>
                            <w:sz w:val="21"/>
                          </w:rPr>
                          <w:t xml:space="preserve">能源管理体系 公共建筑管理组织认证要求RB/T </w:t>
                        </w:r>
                        <w:r>
                          <w:rPr>
                            <w:rFonts w:hint="eastAsia"/>
                            <w:sz w:val="21"/>
                            <w:lang w:val="en-US"/>
                          </w:rPr>
                          <w:t>107</w:t>
                        </w:r>
                        <w:r>
                          <w:rPr>
                            <w:rFonts w:hint="eastAsia"/>
                            <w:sz w:val="21"/>
                          </w:rPr>
                          <w:t>-201</w:t>
                        </w:r>
                        <w:r>
                          <w:rPr>
                            <w:rFonts w:hint="eastAsia"/>
                            <w:sz w:val="21"/>
                            <w:lang w:val="en-US"/>
                          </w:rPr>
                          <w:t>3</w:t>
                        </w:r>
                        <w:r>
                          <w:rPr>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1958" w:type="dxa"/>
                        <w:tcBorders>
                          <w:top w:val="single" w:color="000000" w:sz="6" w:space="0"/>
                          <w:left w:val="single" w:color="000000" w:sz="6" w:space="0"/>
                          <w:bottom w:val="single" w:color="000000" w:sz="6" w:space="0"/>
                          <w:right w:val="single" w:color="000000" w:sz="6" w:space="0"/>
                        </w:tcBorders>
                      </w:tcPr>
                      <w:p>
                        <w:pPr>
                          <w:pStyle w:val="11"/>
                          <w:spacing w:before="17"/>
                          <w:rPr>
                            <w:rFonts w:ascii="Microsoft JhengHei"/>
                            <w:b/>
                            <w:sz w:val="12"/>
                          </w:rPr>
                        </w:pPr>
                      </w:p>
                      <w:p>
                        <w:pPr>
                          <w:pStyle w:val="11"/>
                          <w:spacing w:before="1"/>
                          <w:ind w:left="170"/>
                          <w:rPr>
                            <w:sz w:val="21"/>
                          </w:rPr>
                        </w:pPr>
                        <w:r>
                          <w:rPr>
                            <w:sz w:val="21"/>
                          </w:rPr>
                          <w:t>1.5 起止时间</w:t>
                        </w:r>
                      </w:p>
                    </w:tc>
                    <w:tc>
                      <w:tcPr>
                        <w:tcW w:w="7595" w:type="dxa"/>
                        <w:gridSpan w:val="5"/>
                        <w:tcBorders>
                          <w:top w:val="single" w:color="000000" w:sz="6" w:space="0"/>
                          <w:left w:val="single" w:color="000000" w:sz="6" w:space="0"/>
                          <w:bottom w:val="single" w:color="000000" w:sz="6" w:space="0"/>
                          <w:right w:val="single" w:color="000000" w:sz="6" w:space="0"/>
                        </w:tcBorders>
                      </w:tcPr>
                      <w:p>
                        <w:pPr>
                          <w:pStyle w:val="11"/>
                          <w:spacing w:before="17"/>
                          <w:rPr>
                            <w:rFonts w:ascii="Microsoft JhengHei"/>
                            <w:b/>
                            <w:sz w:val="12"/>
                          </w:rPr>
                        </w:pPr>
                      </w:p>
                      <w:p>
                        <w:pPr>
                          <w:pStyle w:val="11"/>
                          <w:tabs>
                            <w:tab w:val="left" w:pos="2478"/>
                            <w:tab w:val="left" w:pos="2898"/>
                          </w:tabs>
                          <w:spacing w:before="1"/>
                          <w:ind w:left="11"/>
                          <w:jc w:val="center"/>
                          <w:rPr>
                            <w:sz w:val="21"/>
                          </w:rPr>
                        </w:pPr>
                        <w:r>
                          <w:rPr>
                            <w:sz w:val="21"/>
                          </w:rPr>
                          <w:t>20</w:t>
                        </w:r>
                        <w:r>
                          <w:rPr>
                            <w:rFonts w:hint="eastAsia"/>
                            <w:sz w:val="21"/>
                          </w:rPr>
                          <w:t>21</w:t>
                        </w:r>
                        <w:r>
                          <w:rPr>
                            <w:sz w:val="21"/>
                          </w:rPr>
                          <w:t>年1月---20</w:t>
                        </w:r>
                        <w:r>
                          <w:rPr>
                            <w:rFonts w:hint="eastAsia"/>
                            <w:sz w:val="21"/>
                          </w:rPr>
                          <w:t>22</w:t>
                        </w:r>
                        <w:r>
                          <w:rPr>
                            <w:sz w:val="21"/>
                          </w:rPr>
                          <w:t>年</w:t>
                        </w:r>
                        <w:r>
                          <w:rPr>
                            <w:rFonts w:hint="eastAsia"/>
                            <w:sz w:val="21"/>
                          </w:rPr>
                          <w:t>12</w:t>
                        </w:r>
                        <w:r>
                          <w:rPr>
                            <w:sz w:val="21"/>
                          </w:rPr>
                          <w:t>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1958" w:type="dxa"/>
                        <w:tcBorders>
                          <w:top w:val="single" w:color="000000" w:sz="6" w:space="0"/>
                          <w:left w:val="single" w:color="000000" w:sz="6" w:space="0"/>
                          <w:bottom w:val="single" w:color="000000" w:sz="6" w:space="0"/>
                          <w:right w:val="single" w:color="000000" w:sz="6" w:space="0"/>
                        </w:tcBorders>
                      </w:tcPr>
                      <w:p>
                        <w:pPr>
                          <w:pStyle w:val="11"/>
                          <w:tabs>
                            <w:tab w:val="left" w:pos="2478"/>
                            <w:tab w:val="left" w:pos="2898"/>
                          </w:tabs>
                          <w:spacing w:before="1"/>
                          <w:ind w:left="11"/>
                          <w:jc w:val="center"/>
                          <w:rPr>
                            <w:sz w:val="21"/>
                          </w:rPr>
                        </w:pPr>
                      </w:p>
                      <w:p>
                        <w:pPr>
                          <w:pStyle w:val="11"/>
                          <w:tabs>
                            <w:tab w:val="left" w:pos="2478"/>
                            <w:tab w:val="left" w:pos="2898"/>
                          </w:tabs>
                          <w:spacing w:before="1"/>
                          <w:ind w:left="11"/>
                          <w:jc w:val="center"/>
                          <w:rPr>
                            <w:spacing w:val="-55"/>
                            <w:sz w:val="21"/>
                          </w:rPr>
                        </w:pPr>
                        <w:r>
                          <w:rPr>
                            <w:sz w:val="21"/>
                          </w:rPr>
                          <w:t>1.6 标准起草单位</w:t>
                        </w:r>
                      </w:p>
                    </w:tc>
                    <w:tc>
                      <w:tcPr>
                        <w:tcW w:w="7595" w:type="dxa"/>
                        <w:gridSpan w:val="5"/>
                        <w:tcBorders>
                          <w:top w:val="single" w:color="000000" w:sz="6" w:space="0"/>
                          <w:left w:val="single" w:color="000000" w:sz="6" w:space="0"/>
                          <w:bottom w:val="single" w:color="000000" w:sz="6" w:space="0"/>
                          <w:right w:val="single" w:color="000000" w:sz="6" w:space="0"/>
                        </w:tcBorders>
                      </w:tcPr>
                      <w:p>
                        <w:pPr>
                          <w:pStyle w:val="11"/>
                          <w:spacing w:before="1" w:line="360" w:lineRule="auto"/>
                          <w:ind w:left="170" w:right="159"/>
                          <w:jc w:val="both"/>
                          <w:rPr>
                            <w:sz w:val="21"/>
                          </w:rPr>
                        </w:pPr>
                        <w:r>
                          <w:rPr>
                            <w:rFonts w:hint="eastAsia"/>
                            <w:sz w:val="21"/>
                          </w:rPr>
                          <w:t>1.</w:t>
                        </w:r>
                        <w:r>
                          <w:rPr>
                            <w:rFonts w:hint="eastAsia"/>
                            <w:sz w:val="21"/>
                            <w:lang w:val="en-US"/>
                          </w:rPr>
                          <w:t>方圆标志认证集团有限公司</w:t>
                        </w:r>
                      </w:p>
                      <w:p>
                        <w:pPr>
                          <w:pStyle w:val="11"/>
                          <w:spacing w:before="1" w:line="360" w:lineRule="auto"/>
                          <w:ind w:left="170" w:right="159"/>
                          <w:jc w:val="both"/>
                          <w:rPr>
                            <w:sz w:val="21"/>
                          </w:rPr>
                        </w:pPr>
                        <w:r>
                          <w:rPr>
                            <w:rFonts w:hint="eastAsia"/>
                            <w:sz w:val="21"/>
                          </w:rPr>
                          <w:t>2.中国科技会堂</w:t>
                        </w:r>
                      </w:p>
                      <w:p>
                        <w:pPr>
                          <w:pStyle w:val="11"/>
                          <w:spacing w:before="1" w:line="360" w:lineRule="auto"/>
                          <w:ind w:left="170" w:right="159"/>
                          <w:jc w:val="both"/>
                          <w:rPr>
                            <w:rFonts w:hint="eastAsia"/>
                            <w:sz w:val="21"/>
                          </w:rPr>
                        </w:pPr>
                        <w:r>
                          <w:rPr>
                            <w:rFonts w:hint="eastAsia"/>
                            <w:sz w:val="21"/>
                          </w:rPr>
                          <w:t>3.威立雅（中国）环境服务有限公司</w:t>
                        </w:r>
                      </w:p>
                      <w:p>
                        <w:pPr>
                          <w:pStyle w:val="11"/>
                          <w:spacing w:before="1" w:line="360" w:lineRule="auto"/>
                          <w:ind w:left="170" w:right="159"/>
                          <w:jc w:val="both"/>
                          <w:rPr>
                            <w:sz w:val="21"/>
                          </w:rPr>
                        </w:pPr>
                        <w:r>
                          <w:rPr>
                            <w:rFonts w:hint="eastAsia"/>
                            <w:sz w:val="21"/>
                          </w:rPr>
                          <w:t>4.北京中化联合认证有限公司</w:t>
                        </w:r>
                      </w:p>
                      <w:p>
                        <w:pPr>
                          <w:pStyle w:val="11"/>
                          <w:spacing w:before="1" w:line="360" w:lineRule="auto"/>
                          <w:ind w:left="170" w:right="159"/>
                          <w:jc w:val="both"/>
                          <w:rPr>
                            <w:sz w:val="21"/>
                          </w:rPr>
                        </w:pPr>
                        <w:r>
                          <w:rPr>
                            <w:rFonts w:hint="eastAsia"/>
                            <w:sz w:val="21"/>
                          </w:rPr>
                          <w:t>5.中国船级社质量认证公司</w:t>
                        </w:r>
                      </w:p>
                      <w:p>
                        <w:pPr>
                          <w:pStyle w:val="11"/>
                          <w:spacing w:before="1" w:line="360" w:lineRule="auto"/>
                          <w:ind w:left="170" w:right="159"/>
                          <w:jc w:val="both"/>
                          <w:rPr>
                            <w:sz w:val="21"/>
                          </w:rPr>
                        </w:pPr>
                        <w:r>
                          <w:rPr>
                            <w:rFonts w:hint="eastAsia"/>
                            <w:sz w:val="21"/>
                          </w:rPr>
                          <w:t>6.上海大众联合发展有限公司</w:t>
                        </w:r>
                      </w:p>
                      <w:p>
                        <w:pPr>
                          <w:pStyle w:val="11"/>
                          <w:spacing w:before="1" w:line="360" w:lineRule="auto"/>
                          <w:ind w:left="170" w:right="159"/>
                          <w:jc w:val="both"/>
                          <w:rPr>
                            <w:sz w:val="21"/>
                          </w:rPr>
                        </w:pPr>
                        <w:r>
                          <w:rPr>
                            <w:rFonts w:hint="eastAsia"/>
                            <w:sz w:val="21"/>
                          </w:rPr>
                          <w:t>7</w:t>
                        </w:r>
                        <w:r>
                          <w:rPr>
                            <w:sz w:val="21"/>
                          </w:rPr>
                          <w:t>.中国电子技术标准化研究院</w:t>
                        </w:r>
                      </w:p>
                      <w:p>
                        <w:pPr>
                          <w:pStyle w:val="11"/>
                          <w:spacing w:before="1" w:line="360" w:lineRule="auto"/>
                          <w:ind w:left="170" w:right="159"/>
                          <w:jc w:val="both"/>
                          <w:rPr>
                            <w:sz w:val="21"/>
                            <w:lang w:val="en-US"/>
                          </w:rPr>
                        </w:pPr>
                        <w:r>
                          <w:rPr>
                            <w:rFonts w:hint="eastAsia"/>
                            <w:sz w:val="21"/>
                          </w:rPr>
                          <w:t>8.</w:t>
                        </w:r>
                        <w:r>
                          <w:rPr>
                            <w:sz w:val="21"/>
                          </w:rPr>
                          <w:t>北京塞西认证有限责任公司</w:t>
                        </w:r>
                      </w:p>
                      <w:p>
                        <w:pPr>
                          <w:pStyle w:val="11"/>
                          <w:spacing w:before="1" w:line="360" w:lineRule="auto"/>
                          <w:ind w:left="170" w:right="159"/>
                          <w:jc w:val="both"/>
                          <w:rPr>
                            <w:spacing w:val="-55"/>
                            <w:sz w:val="21"/>
                          </w:rPr>
                        </w:pPr>
                        <w:r>
                          <w:rPr>
                            <w:rFonts w:hint="eastAsia"/>
                            <w:sz w:val="21"/>
                          </w:rPr>
                          <w:t>9.新世纪检验认证有限责任公司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6" w:hRule="atLeast"/>
                    </w:trPr>
                    <w:tc>
                      <w:tcPr>
                        <w:tcW w:w="1958" w:type="dxa"/>
                        <w:tcBorders>
                          <w:top w:val="single" w:color="000000" w:sz="6" w:space="0"/>
                          <w:left w:val="single" w:color="000000" w:sz="6" w:space="0"/>
                          <w:bottom w:val="single" w:color="000000" w:sz="6" w:space="0"/>
                          <w:right w:val="single" w:color="000000" w:sz="6" w:space="0"/>
                        </w:tcBorders>
                      </w:tcPr>
                      <w:p>
                        <w:pPr>
                          <w:pStyle w:val="11"/>
                          <w:spacing w:before="147" w:line="244" w:lineRule="auto"/>
                          <w:ind w:left="170" w:right="149"/>
                          <w:rPr>
                            <w:sz w:val="21"/>
                          </w:rPr>
                        </w:pPr>
                        <w:r>
                          <w:rPr>
                            <w:sz w:val="21"/>
                          </w:rPr>
                          <w:t>1.7 起草组成员</w:t>
                        </w:r>
                      </w:p>
                    </w:tc>
                    <w:tc>
                      <w:tcPr>
                        <w:tcW w:w="7595" w:type="dxa"/>
                        <w:gridSpan w:val="5"/>
                        <w:tcBorders>
                          <w:top w:val="single" w:color="000000" w:sz="6" w:space="0"/>
                          <w:left w:val="single" w:color="000000" w:sz="6" w:space="0"/>
                          <w:bottom w:val="single" w:color="000000" w:sz="6" w:space="0"/>
                          <w:right w:val="single" w:color="000000" w:sz="6" w:space="0"/>
                        </w:tcBorders>
                      </w:tcPr>
                      <w:p>
                        <w:pPr>
                          <w:pStyle w:val="11"/>
                          <w:spacing w:before="147" w:line="244" w:lineRule="auto"/>
                          <w:ind w:left="25" w:right="10"/>
                          <w:rPr>
                            <w:rFonts w:ascii="Times New Roman" w:hAnsi="Times New Roman"/>
                            <w:sz w:val="21"/>
                            <w:lang w:val="en-US"/>
                          </w:rPr>
                        </w:pPr>
                        <w:r>
                          <w:rPr>
                            <w:rFonts w:hint="eastAsia"/>
                            <w:sz w:val="21"/>
                            <w:lang w:val="en-US"/>
                          </w:rPr>
                          <w:t>彭新、王静、崔万龙、</w:t>
                        </w:r>
                        <w:r>
                          <w:rPr>
                            <w:rFonts w:hint="eastAsia"/>
                            <w:sz w:val="21"/>
                          </w:rPr>
                          <w:t>徐超、黄俊峰、</w:t>
                        </w:r>
                        <w:r>
                          <w:rPr>
                            <w:rFonts w:hint="eastAsia"/>
                            <w:sz w:val="21"/>
                            <w:lang w:val="en-US"/>
                          </w:rPr>
                          <w:t>霍飞、王亚丁、</w:t>
                        </w:r>
                        <w:r>
                          <w:rPr>
                            <w:rFonts w:hint="eastAsia"/>
                            <w:sz w:val="21"/>
                          </w:rPr>
                          <w:t>方正辉、冀晓洲、闻洪春、</w:t>
                        </w:r>
                        <w:r>
                          <w:rPr>
                            <w:rFonts w:hint="eastAsia"/>
                            <w:sz w:val="21"/>
                            <w:lang w:val="en-US"/>
                          </w:rPr>
                          <w:t>蔡倩倩、孙逊、黄志明等……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1958" w:type="dxa"/>
                        <w:tcBorders>
                          <w:top w:val="single" w:color="000000" w:sz="6" w:space="0"/>
                          <w:left w:val="single" w:color="000000" w:sz="6" w:space="0"/>
                          <w:right w:val="single" w:color="000000" w:sz="6" w:space="0"/>
                        </w:tcBorders>
                      </w:tcPr>
                      <w:p>
                        <w:pPr>
                          <w:pStyle w:val="11"/>
                          <w:spacing w:before="61" w:line="244" w:lineRule="auto"/>
                          <w:ind w:left="170" w:right="188"/>
                          <w:rPr>
                            <w:sz w:val="21"/>
                          </w:rPr>
                        </w:pPr>
                        <w:r>
                          <w:rPr>
                            <w:sz w:val="21"/>
                          </w:rPr>
                          <w:t>1.8 标准体系表内编号</w:t>
                        </w:r>
                      </w:p>
                    </w:tc>
                    <w:tc>
                      <w:tcPr>
                        <w:tcW w:w="7595" w:type="dxa"/>
                        <w:gridSpan w:val="5"/>
                        <w:tcBorders>
                          <w:top w:val="single" w:color="000000" w:sz="6" w:space="0"/>
                          <w:left w:val="single" w:color="000000" w:sz="6" w:space="0"/>
                          <w:right w:val="single" w:color="000000" w:sz="6" w:space="0"/>
                        </w:tcBorders>
                      </w:tcPr>
                      <w:p>
                        <w:pPr>
                          <w:pStyle w:val="11"/>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6" w:hRule="atLeast"/>
                    </w:trPr>
                    <w:tc>
                      <w:tcPr>
                        <w:tcW w:w="1958" w:type="dxa"/>
                        <w:tcBorders>
                          <w:right w:val="single" w:color="000000" w:sz="6" w:space="0"/>
                        </w:tcBorders>
                        <w:vAlign w:val="center"/>
                      </w:tcPr>
                      <w:p>
                        <w:pPr>
                          <w:pStyle w:val="11"/>
                          <w:ind w:left="172"/>
                          <w:jc w:val="center"/>
                          <w:rPr>
                            <w:sz w:val="21"/>
                          </w:rPr>
                        </w:pPr>
                        <w:r>
                          <w:rPr>
                            <w:sz w:val="21"/>
                          </w:rPr>
                          <w:t>1.9 调整情况</w:t>
                        </w:r>
                      </w:p>
                    </w:tc>
                    <w:tc>
                      <w:tcPr>
                        <w:tcW w:w="7595" w:type="dxa"/>
                        <w:gridSpan w:val="5"/>
                        <w:tcBorders>
                          <w:left w:val="single" w:color="000000" w:sz="6" w:space="0"/>
                          <w:right w:val="single" w:color="000000" w:sz="6" w:space="0"/>
                        </w:tcBorders>
                      </w:tcPr>
                      <w:p>
                        <w:pPr>
                          <w:pStyle w:val="11"/>
                          <w:rPr>
                            <w:rFonts w:ascii="Microsoft JhengHei"/>
                            <w:b/>
                            <w:sz w:val="20"/>
                          </w:rPr>
                        </w:pPr>
                      </w:p>
                      <w:p>
                        <w:pPr>
                          <w:pStyle w:val="11"/>
                          <w:ind w:left="25"/>
                          <w:rPr>
                            <w:sz w:val="21"/>
                          </w:rPr>
                        </w:pPr>
                        <w:r>
                          <w:rPr>
                            <w:sz w:val="21"/>
                          </w:rPr>
                          <w:t>无</w:t>
                        </w:r>
                      </w:p>
                    </w:tc>
                  </w:tr>
                </w:tbl>
                <w:p>
                  <w:pPr>
                    <w:pStyle w:val="2"/>
                  </w:pPr>
                </w:p>
              </w:txbxContent>
            </v:textbox>
          </v:shape>
        </w:pict>
      </w:r>
    </w:p>
    <w:p>
      <w:pPr>
        <w:pStyle w:val="2"/>
        <w:spacing w:before="2"/>
        <w:ind w:left="269"/>
      </w:pPr>
      <w:r>
        <w:t>1、基本信息</w:t>
      </w:r>
    </w:p>
    <w:p>
      <w:pPr>
        <w:sectPr>
          <w:type w:val="continuous"/>
          <w:pgSz w:w="11910" w:h="16850"/>
          <w:pgMar w:top="1600" w:right="740" w:bottom="1500" w:left="1020" w:header="720" w:footer="720" w:gutter="0"/>
          <w:cols w:space="720" w:num="1"/>
        </w:sectPr>
      </w:pPr>
    </w:p>
    <w:p>
      <w:pPr>
        <w:pStyle w:val="2"/>
        <w:numPr>
          <w:ilvl w:val="0"/>
          <w:numId w:val="2"/>
        </w:numPr>
        <w:spacing w:before="2"/>
        <w:ind w:left="269"/>
      </w:pPr>
      <w:r>
        <w:t>背景情况</w:t>
      </w:r>
    </w:p>
    <w:tbl>
      <w:tblPr>
        <w:tblStyle w:val="7"/>
        <w:tblW w:w="9735"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42"/>
        <w:gridCol w:w="8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29" w:hRule="atLeast"/>
        </w:trPr>
        <w:tc>
          <w:tcPr>
            <w:tcW w:w="1642" w:type="dxa"/>
            <w:vAlign w:val="center"/>
          </w:tcPr>
          <w:p>
            <w:pPr>
              <w:pStyle w:val="11"/>
              <w:spacing w:before="20" w:line="360" w:lineRule="auto"/>
              <w:jc w:val="both"/>
              <w:rPr>
                <w:rFonts w:ascii="Times New Roman" w:eastAsia="Times New Roman"/>
                <w:sz w:val="21"/>
              </w:rPr>
            </w:pPr>
            <w:r>
              <w:rPr>
                <w:rFonts w:ascii="Times New Roman" w:eastAsia="Times New Roman"/>
                <w:sz w:val="21"/>
              </w:rPr>
              <w:t>2.1 目的、意义</w:t>
            </w:r>
          </w:p>
          <w:p>
            <w:pPr>
              <w:pStyle w:val="11"/>
              <w:spacing w:before="20" w:line="360" w:lineRule="auto"/>
              <w:jc w:val="both"/>
              <w:rPr>
                <w:rFonts w:ascii="Times New Roman" w:eastAsia="Times New Roman"/>
                <w:sz w:val="21"/>
              </w:rPr>
            </w:pPr>
            <w:r>
              <w:rPr>
                <w:rFonts w:ascii="Times New Roman" w:eastAsia="Times New Roman"/>
                <w:sz w:val="21"/>
              </w:rPr>
              <w:t>（工作开展背景及要求）</w:t>
            </w:r>
          </w:p>
        </w:tc>
        <w:tc>
          <w:tcPr>
            <w:tcW w:w="8093" w:type="dxa"/>
          </w:tcPr>
          <w:p>
            <w:pPr>
              <w:pStyle w:val="11"/>
              <w:spacing w:before="20" w:line="360" w:lineRule="auto"/>
              <w:ind w:firstLine="420" w:firstLineChars="200"/>
              <w:rPr>
                <w:rFonts w:ascii="Times New Roman" w:eastAsiaTheme="minorEastAsia"/>
                <w:sz w:val="21"/>
              </w:rPr>
            </w:pPr>
            <w:r>
              <w:rPr>
                <w:rFonts w:ascii="Times New Roman" w:eastAsia="Times New Roman"/>
                <w:sz w:val="21"/>
              </w:rPr>
              <w:t>现行的RB/T</w:t>
            </w:r>
            <w:r>
              <w:rPr>
                <w:rFonts w:hint="eastAsia" w:ascii="Times New Roman" w:eastAsiaTheme="minorEastAsia"/>
                <w:sz w:val="21"/>
              </w:rPr>
              <w:t xml:space="preserve"> </w:t>
            </w:r>
            <w:r>
              <w:rPr>
                <w:rFonts w:ascii="Times New Roman" w:eastAsia="Times New Roman"/>
                <w:sz w:val="21"/>
              </w:rPr>
              <w:t>107-2013《能源管理体系</w:t>
            </w:r>
            <w:r>
              <w:rPr>
                <w:rFonts w:hint="eastAsia" w:ascii="Times New Roman" w:eastAsiaTheme="minorEastAsia"/>
                <w:sz w:val="21"/>
              </w:rPr>
              <w:t xml:space="preserve">  </w:t>
            </w:r>
            <w:r>
              <w:rPr>
                <w:rFonts w:ascii="Times New Roman" w:eastAsia="Times New Roman"/>
                <w:sz w:val="21"/>
              </w:rPr>
              <w:t>公共建筑管理组织认证要求》于2013年12 月正式发布，该标准的基本框架与GB/T</w:t>
            </w:r>
            <w:r>
              <w:rPr>
                <w:rFonts w:hint="eastAsia" w:ascii="Times New Roman" w:eastAsiaTheme="minorEastAsia"/>
                <w:sz w:val="21"/>
              </w:rPr>
              <w:t xml:space="preserve"> </w:t>
            </w:r>
            <w:r>
              <w:rPr>
                <w:rFonts w:ascii="Times New Roman" w:eastAsia="Times New Roman"/>
                <w:sz w:val="21"/>
              </w:rPr>
              <w:t>23331-2012《能源管理体系 要求》保持了一致，目的是引导公共建筑管理组织建立能源管理体系，提高组织能源效率，包括提高能源利用效率和降低能源消耗，同时该标准需要与GB/T</w:t>
            </w:r>
            <w:r>
              <w:rPr>
                <w:rFonts w:hint="eastAsia" w:ascii="Times New Roman" w:eastAsiaTheme="minorEastAsia"/>
                <w:sz w:val="21"/>
              </w:rPr>
              <w:t xml:space="preserve"> </w:t>
            </w:r>
            <w:r>
              <w:rPr>
                <w:rFonts w:ascii="Times New Roman" w:eastAsia="Times New Roman"/>
                <w:sz w:val="21"/>
              </w:rPr>
              <w:t>23331-2012共同使用，用于公共建筑管理组织能源管理体系认证、自我评价或其他方评价。</w:t>
            </w:r>
          </w:p>
          <w:p>
            <w:pPr>
              <w:pStyle w:val="11"/>
              <w:spacing w:before="20" w:line="360" w:lineRule="auto"/>
              <w:ind w:firstLine="420" w:firstLineChars="200"/>
              <w:rPr>
                <w:rFonts w:ascii="Times New Roman" w:eastAsia="Times New Roman"/>
                <w:sz w:val="21"/>
              </w:rPr>
            </w:pPr>
            <w:r>
              <w:rPr>
                <w:rFonts w:ascii="Times New Roman" w:eastAsia="Times New Roman"/>
                <w:sz w:val="21"/>
              </w:rPr>
              <w:t>新版国家标准GB/T23331-20</w:t>
            </w:r>
            <w:r>
              <w:rPr>
                <w:rFonts w:hint="eastAsia" w:ascii="Times New Roman" w:eastAsiaTheme="minorEastAsia"/>
                <w:sz w:val="21"/>
              </w:rPr>
              <w:t>20</w:t>
            </w:r>
            <w:r>
              <w:rPr>
                <w:rFonts w:ascii="Times New Roman" w:eastAsia="Times New Roman"/>
                <w:sz w:val="21"/>
              </w:rPr>
              <w:t>《能源管理体系 要求及使用指南》</w:t>
            </w:r>
            <w:r>
              <w:rPr>
                <w:rFonts w:hint="eastAsia" w:asciiTheme="minorEastAsia" w:hAnsiTheme="minorEastAsia" w:eastAsiaTheme="minorEastAsia"/>
                <w:sz w:val="21"/>
              </w:rPr>
              <w:t>已</w:t>
            </w:r>
            <w:r>
              <w:rPr>
                <w:rFonts w:ascii="Times New Roman" w:eastAsia="Times New Roman"/>
                <w:sz w:val="21"/>
              </w:rPr>
              <w:t>于20</w:t>
            </w:r>
            <w:r>
              <w:rPr>
                <w:rFonts w:hint="eastAsia" w:ascii="Times New Roman" w:eastAsiaTheme="minorEastAsia"/>
                <w:sz w:val="21"/>
              </w:rPr>
              <w:t>20</w:t>
            </w:r>
            <w:r>
              <w:rPr>
                <w:rFonts w:ascii="Times New Roman" w:eastAsia="Times New Roman"/>
                <w:sz w:val="21"/>
              </w:rPr>
              <w:t>年</w:t>
            </w:r>
            <w:r>
              <w:rPr>
                <w:rFonts w:hint="eastAsia" w:ascii="Times New Roman" w:eastAsiaTheme="minorEastAsia"/>
                <w:sz w:val="21"/>
              </w:rPr>
              <w:t>11</w:t>
            </w:r>
            <w:r>
              <w:rPr>
                <w:rFonts w:ascii="Times New Roman" w:eastAsia="Times New Roman"/>
                <w:sz w:val="21"/>
              </w:rPr>
              <w:t>月发布，并</w:t>
            </w:r>
            <w:r>
              <w:rPr>
                <w:rFonts w:hint="eastAsia" w:asciiTheme="minorEastAsia" w:hAnsiTheme="minorEastAsia" w:eastAsiaTheme="minorEastAsia"/>
                <w:sz w:val="21"/>
              </w:rPr>
              <w:t>于</w:t>
            </w:r>
            <w:r>
              <w:rPr>
                <w:rFonts w:hint="eastAsia" w:ascii="Times New Roman" w:eastAsiaTheme="minorEastAsia"/>
                <w:sz w:val="21"/>
              </w:rPr>
              <w:t>2021年6月实施。</w:t>
            </w:r>
            <w:r>
              <w:rPr>
                <w:rFonts w:ascii="Times New Roman" w:eastAsia="Times New Roman"/>
                <w:sz w:val="21"/>
              </w:rPr>
              <w:t>GB/T</w:t>
            </w:r>
            <w:r>
              <w:rPr>
                <w:rFonts w:hint="eastAsia" w:ascii="Times New Roman" w:eastAsiaTheme="minorEastAsia"/>
                <w:sz w:val="21"/>
              </w:rPr>
              <w:t xml:space="preserve"> </w:t>
            </w:r>
            <w:r>
              <w:rPr>
                <w:rFonts w:ascii="Times New Roman" w:eastAsia="Times New Roman"/>
                <w:sz w:val="21"/>
              </w:rPr>
              <w:t>23331-20</w:t>
            </w:r>
            <w:r>
              <w:rPr>
                <w:rFonts w:hint="eastAsia" w:ascii="Times New Roman" w:eastAsiaTheme="minorEastAsia"/>
                <w:sz w:val="21"/>
              </w:rPr>
              <w:t>20</w:t>
            </w:r>
            <w:r>
              <w:rPr>
                <w:rFonts w:ascii="Times New Roman" w:eastAsia="Times New Roman"/>
                <w:sz w:val="21"/>
              </w:rPr>
              <w:t>与GB/T</w:t>
            </w:r>
            <w:r>
              <w:rPr>
                <w:rFonts w:hint="eastAsia" w:ascii="Times New Roman" w:eastAsiaTheme="minorEastAsia"/>
                <w:sz w:val="21"/>
              </w:rPr>
              <w:t xml:space="preserve"> </w:t>
            </w:r>
            <w:r>
              <w:rPr>
                <w:rFonts w:ascii="Times New Roman" w:eastAsia="Times New Roman"/>
                <w:sz w:val="21"/>
              </w:rPr>
              <w:t>23331-2012 相比框架发生了较大变化，采用了10个条款的高阶结构，与其他管理体系要求在结构上实现了统一。</w:t>
            </w:r>
            <w:r>
              <w:rPr>
                <w:rFonts w:hint="eastAsia" w:ascii="Times New Roman" w:eastAsiaTheme="minorEastAsia"/>
                <w:sz w:val="21"/>
              </w:rPr>
              <w:t>同时，澄清一些要求和引入了新概念。</w:t>
            </w:r>
            <w:r>
              <w:rPr>
                <w:rFonts w:hint="eastAsia"/>
                <w:sz w:val="21"/>
              </w:rPr>
              <w:t>因此作为认证依据标准，现行的</w:t>
            </w:r>
            <w:r>
              <w:rPr>
                <w:rFonts w:ascii="Times New Roman" w:eastAsia="Times New Roman"/>
                <w:sz w:val="21"/>
              </w:rPr>
              <w:t>RB/T</w:t>
            </w:r>
            <w:r>
              <w:rPr>
                <w:rFonts w:hint="eastAsia" w:ascii="Times New Roman" w:eastAsiaTheme="minorEastAsia"/>
                <w:sz w:val="21"/>
              </w:rPr>
              <w:t xml:space="preserve"> </w:t>
            </w:r>
            <w:r>
              <w:rPr>
                <w:rFonts w:ascii="Times New Roman" w:eastAsia="Times New Roman"/>
                <w:sz w:val="21"/>
              </w:rPr>
              <w:t xml:space="preserve">107-2013 </w:t>
            </w:r>
            <w:r>
              <w:rPr>
                <w:rFonts w:hint="eastAsia"/>
                <w:sz w:val="21"/>
              </w:rPr>
              <w:t>已不能持续满足其作用，需要按照新版能源标准的框架和内容，对现行的</w:t>
            </w:r>
            <w:r>
              <w:rPr>
                <w:rFonts w:ascii="Times New Roman" w:eastAsia="Times New Roman"/>
                <w:sz w:val="21"/>
              </w:rPr>
              <w:t>RB/T</w:t>
            </w:r>
            <w:r>
              <w:rPr>
                <w:rFonts w:hint="eastAsia" w:ascii="Times New Roman" w:eastAsiaTheme="minorEastAsia"/>
                <w:sz w:val="21"/>
              </w:rPr>
              <w:t xml:space="preserve"> </w:t>
            </w:r>
            <w:r>
              <w:rPr>
                <w:rFonts w:ascii="Times New Roman" w:eastAsia="Times New Roman"/>
                <w:sz w:val="21"/>
              </w:rPr>
              <w:t>107-2013进行修订，以确保其与新版能源标准框架及要求的一致，并继续满足在公共建筑管理组织建立能源管理体系时满足相应的要求。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3" w:hRule="atLeast"/>
        </w:trPr>
        <w:tc>
          <w:tcPr>
            <w:tcW w:w="1642" w:type="dxa"/>
            <w:vAlign w:val="center"/>
          </w:tcPr>
          <w:p>
            <w:pPr>
              <w:pStyle w:val="11"/>
              <w:spacing w:before="20" w:line="360" w:lineRule="auto"/>
              <w:jc w:val="both"/>
              <w:rPr>
                <w:rFonts w:ascii="Times New Roman" w:eastAsia="Times New Roman"/>
                <w:sz w:val="21"/>
              </w:rPr>
            </w:pPr>
            <w:r>
              <w:rPr>
                <w:rFonts w:ascii="Times New Roman" w:eastAsia="Times New Roman"/>
                <w:sz w:val="21"/>
              </w:rPr>
              <w:t>2.2 与国内外相关标准、文献的关系</w:t>
            </w:r>
          </w:p>
        </w:tc>
        <w:tc>
          <w:tcPr>
            <w:tcW w:w="8093" w:type="dxa"/>
          </w:tcPr>
          <w:p>
            <w:pPr>
              <w:pStyle w:val="11"/>
              <w:wordWrap w:val="0"/>
              <w:spacing w:before="140" w:line="360" w:lineRule="auto"/>
              <w:ind w:left="99" w:leftChars="45" w:firstLine="420" w:firstLineChars="200"/>
              <w:rPr>
                <w:rFonts w:ascii="Times New Roman" w:eastAsiaTheme="minorEastAsia"/>
                <w:sz w:val="21"/>
              </w:rPr>
            </w:pPr>
            <w:r>
              <w:rPr>
                <w:rFonts w:ascii="Times New Roman" w:eastAsia="Times New Roman"/>
                <w:sz w:val="21"/>
              </w:rPr>
              <w:t>本标准与GB/T</w:t>
            </w:r>
            <w:r>
              <w:rPr>
                <w:rFonts w:hint="eastAsia" w:ascii="Times New Roman" w:eastAsiaTheme="minorEastAsia"/>
                <w:sz w:val="21"/>
              </w:rPr>
              <w:t xml:space="preserve"> 23331-2020的结构保持一致，在满足</w:t>
            </w:r>
            <w:r>
              <w:rPr>
                <w:rFonts w:ascii="Times New Roman" w:eastAsia="Times New Roman"/>
                <w:sz w:val="21"/>
              </w:rPr>
              <w:t>GB/T</w:t>
            </w:r>
            <w:r>
              <w:rPr>
                <w:rFonts w:hint="eastAsia" w:ascii="Times New Roman" w:eastAsiaTheme="minorEastAsia"/>
                <w:sz w:val="21"/>
              </w:rPr>
              <w:t xml:space="preserve"> 23331-2020要求的基础上，对公共建筑管理组织建立、实施能源管理体系提出了针对性要求。</w:t>
            </w:r>
          </w:p>
        </w:tc>
      </w:tr>
    </w:tbl>
    <w:p>
      <w:pPr>
        <w:pStyle w:val="2"/>
        <w:spacing w:before="2"/>
      </w:pPr>
    </w:p>
    <w:p>
      <w:pPr>
        <w:pStyle w:val="2"/>
        <w:tabs>
          <w:tab w:val="left" w:pos="465"/>
        </w:tabs>
        <w:spacing w:before="172"/>
        <w:ind w:left="148"/>
      </w:pPr>
    </w:p>
    <w:p>
      <w:pPr>
        <w:pStyle w:val="2"/>
        <w:tabs>
          <w:tab w:val="left" w:pos="465"/>
        </w:tabs>
        <w:spacing w:before="172"/>
        <w:ind w:left="148"/>
      </w:pPr>
    </w:p>
    <w:p>
      <w:pPr>
        <w:pStyle w:val="2"/>
        <w:tabs>
          <w:tab w:val="left" w:pos="465"/>
        </w:tabs>
        <w:spacing w:before="172"/>
        <w:ind w:left="148"/>
      </w:pPr>
    </w:p>
    <w:p>
      <w:pPr>
        <w:pStyle w:val="2"/>
        <w:tabs>
          <w:tab w:val="left" w:pos="465"/>
        </w:tabs>
        <w:spacing w:before="172"/>
        <w:ind w:left="148"/>
      </w:pPr>
    </w:p>
    <w:p>
      <w:pPr>
        <w:pStyle w:val="2"/>
        <w:tabs>
          <w:tab w:val="left" w:pos="465"/>
        </w:tabs>
        <w:spacing w:before="172"/>
        <w:ind w:left="148"/>
      </w:pPr>
    </w:p>
    <w:p>
      <w:pPr>
        <w:pStyle w:val="2"/>
        <w:tabs>
          <w:tab w:val="left" w:pos="465"/>
        </w:tabs>
        <w:spacing w:before="172"/>
        <w:ind w:left="148"/>
      </w:pPr>
    </w:p>
    <w:p>
      <w:pPr>
        <w:pStyle w:val="2"/>
        <w:tabs>
          <w:tab w:val="left" w:pos="465"/>
        </w:tabs>
        <w:spacing w:before="172"/>
        <w:ind w:left="148"/>
      </w:pPr>
    </w:p>
    <w:p>
      <w:pPr>
        <w:pStyle w:val="2"/>
        <w:tabs>
          <w:tab w:val="left" w:pos="465"/>
        </w:tabs>
        <w:spacing w:before="172"/>
        <w:ind w:left="148"/>
      </w:pPr>
    </w:p>
    <w:p>
      <w:pPr>
        <w:pStyle w:val="2"/>
        <w:tabs>
          <w:tab w:val="left" w:pos="465"/>
        </w:tabs>
        <w:spacing w:before="172"/>
        <w:ind w:left="148"/>
      </w:pPr>
    </w:p>
    <w:p>
      <w:pPr>
        <w:pStyle w:val="2"/>
        <w:tabs>
          <w:tab w:val="left" w:pos="465"/>
        </w:tabs>
        <w:spacing w:before="172"/>
        <w:ind w:left="148"/>
      </w:pPr>
    </w:p>
    <w:p>
      <w:pPr>
        <w:pStyle w:val="2"/>
        <w:tabs>
          <w:tab w:val="left" w:pos="465"/>
        </w:tabs>
        <w:spacing w:before="172"/>
        <w:ind w:left="148"/>
      </w:pPr>
    </w:p>
    <w:p>
      <w:pPr>
        <w:pStyle w:val="2"/>
        <w:tabs>
          <w:tab w:val="left" w:pos="465"/>
        </w:tabs>
        <w:spacing w:before="172"/>
        <w:ind w:left="148"/>
      </w:pPr>
    </w:p>
    <w:p>
      <w:pPr>
        <w:pStyle w:val="2"/>
        <w:tabs>
          <w:tab w:val="left" w:pos="465"/>
        </w:tabs>
        <w:spacing w:before="172"/>
        <w:ind w:left="148"/>
      </w:pPr>
      <w:r>
        <w:t>3</w:t>
      </w:r>
      <w:r>
        <w:tab/>
      </w:r>
      <w:r>
        <w:t>编制过程</w:t>
      </w:r>
    </w:p>
    <w:p>
      <w:pPr>
        <w:pStyle w:val="2"/>
        <w:spacing w:before="6" w:after="1"/>
        <w:rPr>
          <w:rFonts w:ascii="Times New Roman"/>
          <w:b w:val="0"/>
          <w:sz w:val="13"/>
        </w:rPr>
      </w:pPr>
    </w:p>
    <w:tbl>
      <w:tblPr>
        <w:tblStyle w:val="7"/>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8"/>
        <w:gridCol w:w="80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2" w:hRule="atLeast"/>
        </w:trPr>
        <w:tc>
          <w:tcPr>
            <w:tcW w:w="1678" w:type="dxa"/>
            <w:tcBorders>
              <w:left w:val="single" w:color="000000" w:sz="6" w:space="0"/>
              <w:right w:val="single" w:color="000000" w:sz="6" w:space="0"/>
            </w:tcBorders>
          </w:tcPr>
          <w:p>
            <w:pPr>
              <w:pStyle w:val="11"/>
              <w:rPr>
                <w:rFonts w:ascii="Times New Roman"/>
                <w:sz w:val="20"/>
              </w:rPr>
            </w:pPr>
          </w:p>
          <w:p>
            <w:pPr>
              <w:pStyle w:val="11"/>
              <w:spacing w:before="6"/>
              <w:rPr>
                <w:rFonts w:ascii="Times New Roman"/>
                <w:sz w:val="16"/>
              </w:rPr>
            </w:pPr>
          </w:p>
          <w:p>
            <w:pPr>
              <w:pStyle w:val="11"/>
              <w:ind w:left="170"/>
              <w:rPr>
                <w:sz w:val="21"/>
              </w:rPr>
            </w:pPr>
            <w:r>
              <w:rPr>
                <w:sz w:val="21"/>
              </w:rPr>
              <w:t>3.1 分工情况</w:t>
            </w:r>
          </w:p>
        </w:tc>
        <w:tc>
          <w:tcPr>
            <w:tcW w:w="8028" w:type="dxa"/>
            <w:tcBorders>
              <w:top w:val="single" w:color="000000" w:sz="6" w:space="0"/>
              <w:left w:val="single" w:color="000000" w:sz="6" w:space="0"/>
              <w:bottom w:val="single" w:color="000000" w:sz="6" w:space="0"/>
              <w:right w:val="single" w:color="000000" w:sz="6" w:space="0"/>
            </w:tcBorders>
          </w:tcPr>
          <w:p>
            <w:pPr>
              <w:pStyle w:val="11"/>
              <w:spacing w:before="120" w:beforeLines="50" w:line="360" w:lineRule="auto"/>
              <w:ind w:left="28" w:right="6" w:firstLine="408" w:firstLineChars="200"/>
              <w:jc w:val="both"/>
              <w:rPr>
                <w:b/>
                <w:bCs/>
                <w:spacing w:val="-3"/>
                <w:sz w:val="21"/>
              </w:rPr>
            </w:pPr>
            <w:r>
              <w:rPr>
                <w:spacing w:val="-3"/>
                <w:sz w:val="21"/>
              </w:rPr>
              <w:t>标</w:t>
            </w:r>
            <w:r>
              <w:rPr>
                <w:rFonts w:ascii="Times New Roman" w:eastAsia="Times New Roman"/>
                <w:sz w:val="21"/>
              </w:rPr>
              <w:t>准的主要架构由全体编写组成员单位共同确定，标准的基本框架和主要内容由</w:t>
            </w:r>
            <w:r>
              <w:rPr>
                <w:rFonts w:hint="eastAsia" w:ascii="Times New Roman" w:eastAsia="Times New Roman"/>
                <w:sz w:val="21"/>
                <w:lang w:val="en-US"/>
              </w:rPr>
              <w:t>方圆标志认证集团有限公司主要</w:t>
            </w:r>
            <w:r>
              <w:rPr>
                <w:rFonts w:ascii="Times New Roman" w:eastAsia="Times New Roman"/>
                <w:sz w:val="21"/>
              </w:rPr>
              <w:t>负责编写，全体编写组成员单位在此基础上进行补充完善；全体成员根据征求意见，修订完善输出终稿。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4" w:hRule="atLeast"/>
        </w:trPr>
        <w:tc>
          <w:tcPr>
            <w:tcW w:w="1678" w:type="dxa"/>
            <w:tcBorders>
              <w:left w:val="single" w:color="000000" w:sz="6" w:space="0"/>
              <w:right w:val="single" w:color="000000" w:sz="6" w:space="0"/>
            </w:tcBorders>
            <w:vAlign w:val="center"/>
          </w:tcPr>
          <w:p>
            <w:pPr>
              <w:pStyle w:val="11"/>
              <w:spacing w:before="178"/>
              <w:ind w:left="170"/>
              <w:jc w:val="both"/>
              <w:rPr>
                <w:sz w:val="21"/>
              </w:rPr>
            </w:pPr>
            <w:r>
              <w:rPr>
                <w:sz w:val="21"/>
              </w:rPr>
              <w:t>3.2 起草阶段</w:t>
            </w:r>
          </w:p>
        </w:tc>
        <w:tc>
          <w:tcPr>
            <w:tcW w:w="8028" w:type="dxa"/>
            <w:tcBorders>
              <w:top w:val="single" w:color="000000" w:sz="6" w:space="0"/>
              <w:left w:val="single" w:color="000000" w:sz="6" w:space="0"/>
              <w:right w:val="single" w:color="000000" w:sz="6" w:space="0"/>
            </w:tcBorders>
          </w:tcPr>
          <w:p>
            <w:pPr>
              <w:widowControl/>
              <w:spacing w:line="360" w:lineRule="auto"/>
              <w:ind w:left="389" w:leftChars="35" w:hanging="312" w:hangingChars="153"/>
              <w:rPr>
                <w:spacing w:val="-3"/>
                <w:sz w:val="21"/>
                <w:lang w:val="en-US"/>
              </w:rPr>
            </w:pPr>
            <w:r>
              <w:rPr>
                <w:rFonts w:hint="eastAsia"/>
                <w:spacing w:val="-3"/>
                <w:sz w:val="21"/>
                <w:lang w:val="en-US"/>
              </w:rPr>
              <w:t>1）2021年1月至9月，方圆邀请行业企业、认证机构等相关方组成标准起草小组；组织相关专业人员对标准修订方案进行研讨，将本标准草案与GB/T 23331-2020的内容进行对照，提炼国标的新要求以及如何将这些要求转化为本标准的细化要求。通过分析和企业调研走访，对标准草案进行了初步修改。</w:t>
            </w:r>
          </w:p>
          <w:p>
            <w:pPr>
              <w:widowControl/>
              <w:spacing w:line="360" w:lineRule="auto"/>
              <w:ind w:left="389" w:leftChars="35" w:hanging="312" w:hangingChars="153"/>
              <w:rPr>
                <w:spacing w:val="-3"/>
                <w:sz w:val="21"/>
                <w:lang w:val="en-US"/>
              </w:rPr>
            </w:pPr>
            <w:r>
              <w:rPr>
                <w:rFonts w:hint="eastAsia"/>
                <w:spacing w:val="-3"/>
                <w:sz w:val="21"/>
                <w:lang w:val="en-US"/>
              </w:rPr>
              <w:t xml:space="preserve">2）2021年10月，经前期充分准备，标准起草工作组召开了标准修订启动会，就标准修订思路、技术路线、修订分工、时间安排进行了讨论，同时针对在用标准遇到的问题进行了分析，在修订标准中予以解决。 </w:t>
            </w:r>
          </w:p>
          <w:p>
            <w:pPr>
              <w:widowControl/>
              <w:spacing w:line="360" w:lineRule="auto"/>
              <w:ind w:left="389" w:leftChars="35" w:hanging="312" w:hangingChars="153"/>
              <w:rPr>
                <w:spacing w:val="-3"/>
                <w:sz w:val="21"/>
                <w:lang w:val="en-US"/>
              </w:rPr>
            </w:pPr>
            <w:r>
              <w:rPr>
                <w:rFonts w:hint="eastAsia"/>
                <w:spacing w:val="-3"/>
                <w:sz w:val="21"/>
                <w:lang w:val="en-US"/>
              </w:rPr>
              <w:t>3) 2021年11月-2022年5月，起草组按照分工要求对标准进行了补充完善，同时对相关企业走访调研，形成工作组标准讨论稿。</w:t>
            </w:r>
          </w:p>
          <w:p>
            <w:pPr>
              <w:widowControl/>
              <w:spacing w:line="360" w:lineRule="auto"/>
              <w:ind w:left="389" w:leftChars="35" w:hanging="312" w:hangingChars="153"/>
              <w:rPr>
                <w:rFonts w:cs="Times New Roman"/>
                <w:color w:val="000000"/>
                <w:sz w:val="24"/>
                <w:szCs w:val="24"/>
              </w:rPr>
            </w:pPr>
            <w:r>
              <w:rPr>
                <w:rFonts w:hint="eastAsia"/>
                <w:spacing w:val="-3"/>
                <w:sz w:val="21"/>
                <w:lang w:val="en-US"/>
              </w:rPr>
              <w:t>3) 2022 年6月，起草组组织各参编单位召开了标准讨论稿研讨会，对标准框架、技术内容等进行了充分讨论，提出修订意见。方圆集团根据意见进行了修订，并形成征求意见稿。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1678" w:type="dxa"/>
            <w:tcBorders>
              <w:left w:val="single" w:color="000000" w:sz="6" w:space="0"/>
              <w:bottom w:val="single" w:color="000000" w:sz="6" w:space="0"/>
              <w:right w:val="single" w:color="000000" w:sz="6" w:space="0"/>
            </w:tcBorders>
            <w:vAlign w:val="center"/>
          </w:tcPr>
          <w:p>
            <w:pPr>
              <w:pStyle w:val="11"/>
              <w:spacing w:before="1" w:line="242" w:lineRule="auto"/>
              <w:ind w:left="170" w:right="185"/>
              <w:jc w:val="both"/>
              <w:rPr>
                <w:sz w:val="21"/>
              </w:rPr>
            </w:pPr>
            <w:r>
              <w:rPr>
                <w:sz w:val="21"/>
              </w:rPr>
              <w:t>3.3 征求意见阶段</w:t>
            </w:r>
          </w:p>
        </w:tc>
        <w:tc>
          <w:tcPr>
            <w:tcW w:w="8028" w:type="dxa"/>
            <w:tcBorders>
              <w:left w:val="single" w:color="000000" w:sz="6" w:space="0"/>
              <w:bottom w:val="single" w:color="000000" w:sz="6" w:space="0"/>
              <w:right w:val="single" w:color="000000" w:sz="6" w:space="0"/>
            </w:tcBorders>
          </w:tcPr>
          <w:p>
            <w:pPr>
              <w:pStyle w:val="11"/>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9" w:hRule="atLeast"/>
        </w:trPr>
        <w:tc>
          <w:tcPr>
            <w:tcW w:w="1678" w:type="dxa"/>
            <w:tcBorders>
              <w:top w:val="single" w:color="000000" w:sz="6" w:space="0"/>
              <w:left w:val="single" w:color="000000" w:sz="6" w:space="0"/>
              <w:bottom w:val="single" w:color="000000" w:sz="6" w:space="0"/>
              <w:right w:val="single" w:color="000000" w:sz="6" w:space="0"/>
            </w:tcBorders>
            <w:vAlign w:val="center"/>
          </w:tcPr>
          <w:p>
            <w:pPr>
              <w:pStyle w:val="11"/>
              <w:spacing w:line="244" w:lineRule="auto"/>
              <w:ind w:left="170" w:right="123"/>
              <w:jc w:val="both"/>
              <w:rPr>
                <w:sz w:val="21"/>
              </w:rPr>
            </w:pPr>
            <w:r>
              <w:rPr>
                <w:sz w:val="21"/>
              </w:rPr>
              <w:t>3.4 标准审定阶段</w:t>
            </w:r>
          </w:p>
        </w:tc>
        <w:tc>
          <w:tcPr>
            <w:tcW w:w="8028" w:type="dxa"/>
            <w:tcBorders>
              <w:top w:val="single" w:color="000000" w:sz="6" w:space="0"/>
              <w:left w:val="single" w:color="000000" w:sz="6" w:space="0"/>
              <w:bottom w:val="single" w:color="000000" w:sz="6" w:space="0"/>
              <w:right w:val="single" w:color="000000" w:sz="6" w:space="0"/>
            </w:tcBorders>
          </w:tcPr>
          <w:p>
            <w:pPr>
              <w:pStyle w:val="11"/>
              <w:rPr>
                <w:rFonts w:ascii="Times New Roman"/>
                <w:sz w:val="20"/>
              </w:rPr>
            </w:pPr>
          </w:p>
        </w:tc>
      </w:tr>
    </w:tbl>
    <w:p>
      <w:pPr>
        <w:rPr>
          <w:rFonts w:ascii="Times New Roman"/>
          <w:sz w:val="20"/>
        </w:rPr>
        <w:sectPr>
          <w:pgSz w:w="11910" w:h="16850"/>
          <w:pgMar w:top="1600" w:right="740" w:bottom="1500" w:left="1020" w:header="0" w:footer="1316" w:gutter="0"/>
          <w:cols w:space="720" w:num="1"/>
        </w:sectPr>
      </w:pPr>
    </w:p>
    <w:p>
      <w:pPr>
        <w:pStyle w:val="2"/>
        <w:numPr>
          <w:ilvl w:val="0"/>
          <w:numId w:val="3"/>
        </w:numPr>
      </w:pPr>
      <w:r>
        <w:rPr>
          <w:rFonts w:hint="eastAsia"/>
        </w:rPr>
        <w:t>主要技术内容的确定</w:t>
      </w:r>
    </w:p>
    <w:p>
      <w:pPr>
        <w:pStyle w:val="2"/>
        <w:rPr>
          <w:rFonts w:ascii="Times New Roman"/>
          <w:b w:val="0"/>
          <w:sz w:val="20"/>
        </w:rPr>
      </w:pPr>
    </w:p>
    <w:tbl>
      <w:tblPr>
        <w:tblStyle w:val="7"/>
        <w:tblW w:w="0" w:type="auto"/>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4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96" w:hRule="atLeast"/>
        </w:trPr>
        <w:tc>
          <w:tcPr>
            <w:tcW w:w="9481" w:type="dxa"/>
          </w:tcPr>
          <w:p>
            <w:pPr>
              <w:pStyle w:val="11"/>
              <w:numPr>
                <w:ilvl w:val="0"/>
                <w:numId w:val="4"/>
              </w:numPr>
              <w:tabs>
                <w:tab w:val="left" w:pos="868"/>
                <w:tab w:val="left" w:pos="869"/>
              </w:tabs>
              <w:spacing w:before="116" w:line="360" w:lineRule="auto"/>
              <w:ind w:left="867" w:right="300"/>
              <w:rPr>
                <w:spacing w:val="-8"/>
                <w:sz w:val="21"/>
              </w:rPr>
            </w:pPr>
            <w:r>
              <w:rPr>
                <w:spacing w:val="-8"/>
                <w:sz w:val="21"/>
              </w:rPr>
              <w:t>本项目预期目标为输出《</w:t>
            </w:r>
            <w:r>
              <w:rPr>
                <w:rFonts w:hint="eastAsia"/>
                <w:spacing w:val="-8"/>
                <w:sz w:val="21"/>
              </w:rPr>
              <w:t>能源管理体系 公共建筑管理组织认证要求</w:t>
            </w:r>
            <w:r>
              <w:rPr>
                <w:spacing w:val="-8"/>
                <w:sz w:val="21"/>
              </w:rPr>
              <w:t>》规范。</w:t>
            </w:r>
          </w:p>
          <w:p>
            <w:pPr>
              <w:pStyle w:val="11"/>
              <w:numPr>
                <w:ilvl w:val="0"/>
                <w:numId w:val="4"/>
              </w:numPr>
              <w:tabs>
                <w:tab w:val="left" w:pos="868"/>
                <w:tab w:val="left" w:pos="869"/>
              </w:tabs>
              <w:spacing w:before="116" w:line="360" w:lineRule="auto"/>
              <w:ind w:left="867" w:right="300"/>
              <w:rPr>
                <w:spacing w:val="-8"/>
                <w:sz w:val="21"/>
              </w:rPr>
            </w:pPr>
            <w:r>
              <w:rPr>
                <w:spacing w:val="-8"/>
                <w:sz w:val="21"/>
              </w:rPr>
              <w:t>本文件规定了</w:t>
            </w:r>
            <w:r>
              <w:rPr>
                <w:rFonts w:hint="eastAsia"/>
                <w:spacing w:val="-8"/>
                <w:sz w:val="21"/>
                <w:lang w:val="en-US"/>
              </w:rPr>
              <w:t>公共建筑管理组织建立、实施、保持和改进</w:t>
            </w:r>
            <w:r>
              <w:rPr>
                <w:spacing w:val="-8"/>
                <w:sz w:val="21"/>
              </w:rPr>
              <w:t>能源管理体系</w:t>
            </w:r>
            <w:r>
              <w:rPr>
                <w:rFonts w:hint="eastAsia"/>
                <w:spacing w:val="-8"/>
                <w:sz w:val="21"/>
                <w:lang w:val="en-US"/>
              </w:rPr>
              <w:t>的</w:t>
            </w:r>
            <w:r>
              <w:rPr>
                <w:spacing w:val="-8"/>
                <w:sz w:val="21"/>
              </w:rPr>
              <w:t>要求。</w:t>
            </w:r>
          </w:p>
          <w:p>
            <w:pPr>
              <w:pStyle w:val="11"/>
              <w:numPr>
                <w:ilvl w:val="0"/>
                <w:numId w:val="4"/>
              </w:numPr>
              <w:tabs>
                <w:tab w:val="left" w:pos="868"/>
                <w:tab w:val="left" w:pos="869"/>
              </w:tabs>
              <w:spacing w:before="116" w:line="360" w:lineRule="auto"/>
              <w:ind w:left="867" w:right="300"/>
              <w:rPr>
                <w:spacing w:val="-8"/>
                <w:sz w:val="21"/>
              </w:rPr>
            </w:pPr>
            <w:r>
              <w:rPr>
                <w:spacing w:val="-8"/>
                <w:sz w:val="21"/>
              </w:rPr>
              <w:t>本文件适用于公共建筑管理组织能源管理体系认证</w:t>
            </w:r>
            <w:r>
              <w:rPr>
                <w:rFonts w:hint="eastAsia"/>
                <w:spacing w:val="-8"/>
                <w:sz w:val="21"/>
              </w:rPr>
              <w:t>。</w:t>
            </w:r>
          </w:p>
          <w:p>
            <w:pPr>
              <w:pStyle w:val="11"/>
              <w:numPr>
                <w:ilvl w:val="0"/>
                <w:numId w:val="4"/>
              </w:numPr>
              <w:tabs>
                <w:tab w:val="left" w:pos="868"/>
                <w:tab w:val="left" w:pos="869"/>
              </w:tabs>
              <w:spacing w:before="116" w:line="360" w:lineRule="auto"/>
              <w:ind w:left="867" w:right="300"/>
              <w:rPr>
                <w:spacing w:val="-8"/>
                <w:sz w:val="21"/>
              </w:rPr>
            </w:pPr>
            <w:r>
              <w:rPr>
                <w:spacing w:val="-8"/>
                <w:sz w:val="21"/>
              </w:rPr>
              <w:t>可用于公共建筑管理组织建立、实施、保持和改进其能源管理体系，也可作为其自我评价、自我声明以及相关方对其能源管理体系水平评价的依据。</w:t>
            </w:r>
          </w:p>
          <w:p>
            <w:pPr>
              <w:pStyle w:val="11"/>
              <w:numPr>
                <w:ilvl w:val="0"/>
                <w:numId w:val="4"/>
              </w:numPr>
              <w:tabs>
                <w:tab w:val="left" w:pos="868"/>
                <w:tab w:val="left" w:pos="869"/>
              </w:tabs>
              <w:spacing w:before="116" w:line="360" w:lineRule="auto"/>
              <w:ind w:left="867" w:right="300"/>
              <w:rPr>
                <w:sz w:val="21"/>
              </w:rPr>
            </w:pPr>
            <w:r>
              <w:rPr>
                <w:spacing w:val="-8"/>
                <w:sz w:val="21"/>
              </w:rPr>
              <w:t>本文件编写结合</w:t>
            </w:r>
            <w:r>
              <w:rPr>
                <w:rFonts w:hint="eastAsia"/>
                <w:spacing w:val="-8"/>
                <w:sz w:val="21"/>
              </w:rPr>
              <w:t>公共建筑管理组织</w:t>
            </w:r>
            <w:r>
              <w:rPr>
                <w:spacing w:val="-8"/>
                <w:sz w:val="21"/>
              </w:rPr>
              <w:t>能源使用和管理的实际情况而制定，基本框架与</w:t>
            </w:r>
            <w:r>
              <w:rPr>
                <w:rFonts w:hint="eastAsia"/>
                <w:spacing w:val="-3"/>
                <w:sz w:val="21"/>
                <w:lang w:val="en-US"/>
              </w:rPr>
              <w:t>GB/T 23331-2020</w:t>
            </w:r>
            <w:r>
              <w:rPr>
                <w:spacing w:val="-8"/>
                <w:sz w:val="21"/>
              </w:rPr>
              <w:t>标准保持一致，并在基本框架内，提出了</w:t>
            </w:r>
            <w:r>
              <w:rPr>
                <w:rFonts w:hint="eastAsia"/>
                <w:spacing w:val="-8"/>
                <w:sz w:val="21"/>
              </w:rPr>
              <w:t>公共建筑管理组织</w:t>
            </w:r>
            <w:r>
              <w:rPr>
                <w:spacing w:val="-8"/>
                <w:sz w:val="21"/>
              </w:rPr>
              <w:t>能源管理体系的具体要求，充分体现</w:t>
            </w:r>
            <w:r>
              <w:rPr>
                <w:rFonts w:hint="eastAsia"/>
                <w:spacing w:val="-8"/>
                <w:sz w:val="21"/>
              </w:rPr>
              <w:t>公共建筑</w:t>
            </w:r>
            <w:r>
              <w:rPr>
                <w:spacing w:val="-8"/>
                <w:sz w:val="21"/>
              </w:rPr>
              <w:t>管理活动特点，将能源管理体系的相关的行业要素进行细化，既考虑标准的专业特性，又增强了兼容性， 便于企业贯彻实施。同时，在附录中给出了</w:t>
            </w:r>
            <w:r>
              <w:rPr>
                <w:rFonts w:hint="eastAsia"/>
                <w:spacing w:val="-8"/>
                <w:sz w:val="21"/>
              </w:rPr>
              <w:t>公共建筑管理组织建立、实施能源管理体系的</w:t>
            </w:r>
            <w:r>
              <w:rPr>
                <w:spacing w:val="-8"/>
                <w:sz w:val="21"/>
              </w:rPr>
              <w:t>具体应用说明。</w:t>
            </w:r>
          </w:p>
        </w:tc>
      </w:tr>
    </w:tbl>
    <w:p>
      <w:pPr>
        <w:spacing w:line="242" w:lineRule="auto"/>
        <w:rPr>
          <w:sz w:val="21"/>
        </w:rPr>
        <w:sectPr>
          <w:pgSz w:w="11910" w:h="16850"/>
          <w:pgMar w:top="1600" w:right="770" w:bottom="1500" w:left="1020" w:header="0" w:footer="1316" w:gutter="0"/>
          <w:cols w:space="720" w:num="1"/>
        </w:sectPr>
      </w:pPr>
    </w:p>
    <w:p>
      <w:pPr>
        <w:pStyle w:val="10"/>
        <w:numPr>
          <w:ilvl w:val="0"/>
          <w:numId w:val="5"/>
        </w:numPr>
        <w:tabs>
          <w:tab w:val="left" w:pos="465"/>
          <w:tab w:val="left" w:pos="467"/>
        </w:tabs>
        <w:spacing w:before="136"/>
        <w:ind w:hanging="319"/>
        <w:rPr>
          <w:b/>
          <w:sz w:val="21"/>
        </w:rPr>
      </w:pPr>
      <w:r>
        <w:rPr>
          <w:b/>
          <w:sz w:val="21"/>
        </w:rPr>
        <w:t>验证情况（</w:t>
      </w:r>
      <w:r>
        <w:rPr>
          <w:b/>
          <w:spacing w:val="-2"/>
          <w:sz w:val="21"/>
        </w:rPr>
        <w:t>适用于方法类标准</w:t>
      </w:r>
      <w:r>
        <w:rPr>
          <w:b/>
          <w:sz w:val="21"/>
        </w:rPr>
        <w:t>）</w:t>
      </w:r>
    </w:p>
    <w:p>
      <w:pPr>
        <w:pStyle w:val="2"/>
        <w:spacing w:before="9"/>
        <w:rPr>
          <w:sz w:val="3"/>
        </w:rPr>
      </w:pPr>
    </w:p>
    <w:tbl>
      <w:tblPr>
        <w:tblStyle w:val="7"/>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05"/>
        <w:gridCol w:w="2357"/>
        <w:gridCol w:w="2813"/>
        <w:gridCol w:w="1031"/>
        <w:gridCol w:w="900"/>
        <w:gridCol w:w="7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82" w:hRule="atLeast"/>
        </w:trPr>
        <w:tc>
          <w:tcPr>
            <w:tcW w:w="1805" w:type="dxa"/>
            <w:vMerge w:val="restart"/>
            <w:tcBorders>
              <w:bottom w:val="single" w:color="000000" w:sz="6" w:space="0"/>
            </w:tcBorders>
          </w:tcPr>
          <w:p>
            <w:pPr>
              <w:pStyle w:val="11"/>
              <w:rPr>
                <w:rFonts w:ascii="Microsoft JhengHei"/>
                <w:b/>
                <w:sz w:val="20"/>
              </w:rPr>
            </w:pPr>
          </w:p>
          <w:p>
            <w:pPr>
              <w:pStyle w:val="11"/>
              <w:rPr>
                <w:rFonts w:ascii="Microsoft JhengHei"/>
                <w:b/>
                <w:sz w:val="20"/>
              </w:rPr>
            </w:pPr>
          </w:p>
          <w:p>
            <w:pPr>
              <w:pStyle w:val="11"/>
              <w:spacing w:before="3"/>
              <w:rPr>
                <w:rFonts w:ascii="Microsoft JhengHei"/>
                <w:b/>
                <w:sz w:val="10"/>
              </w:rPr>
            </w:pPr>
          </w:p>
          <w:p>
            <w:pPr>
              <w:pStyle w:val="11"/>
              <w:spacing w:line="242" w:lineRule="auto"/>
              <w:ind w:left="170" w:right="65"/>
              <w:rPr>
                <w:sz w:val="21"/>
              </w:rPr>
            </w:pPr>
            <w:r>
              <w:rPr>
                <w:sz w:val="21"/>
              </w:rPr>
              <w:t>5.1 验证单位情况</w:t>
            </w:r>
          </w:p>
        </w:tc>
        <w:tc>
          <w:tcPr>
            <w:tcW w:w="2357" w:type="dxa"/>
          </w:tcPr>
          <w:p>
            <w:pPr>
              <w:pStyle w:val="11"/>
              <w:spacing w:before="157"/>
              <w:ind w:left="802"/>
              <w:rPr>
                <w:sz w:val="21"/>
              </w:rPr>
            </w:pPr>
            <w:r>
              <w:rPr>
                <w:sz w:val="21"/>
              </w:rPr>
              <w:t>验证单位</w:t>
            </w:r>
          </w:p>
        </w:tc>
        <w:tc>
          <w:tcPr>
            <w:tcW w:w="2813" w:type="dxa"/>
          </w:tcPr>
          <w:p>
            <w:pPr>
              <w:pStyle w:val="11"/>
              <w:spacing w:before="157"/>
              <w:ind w:left="966" w:right="957"/>
              <w:jc w:val="center"/>
              <w:rPr>
                <w:sz w:val="21"/>
              </w:rPr>
            </w:pPr>
            <w:r>
              <w:rPr>
                <w:sz w:val="21"/>
              </w:rPr>
              <w:t>验证人员</w:t>
            </w:r>
          </w:p>
        </w:tc>
        <w:tc>
          <w:tcPr>
            <w:tcW w:w="2643" w:type="dxa"/>
            <w:gridSpan w:val="3"/>
          </w:tcPr>
          <w:p>
            <w:pPr>
              <w:pStyle w:val="11"/>
              <w:spacing w:before="157"/>
              <w:ind w:left="887" w:right="874"/>
              <w:jc w:val="center"/>
              <w:rPr>
                <w:sz w:val="21"/>
              </w:rPr>
            </w:pPr>
            <w:r>
              <w:rPr>
                <w:sz w:val="21"/>
              </w:rPr>
              <w:t>验证时间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atLeast"/>
        </w:trPr>
        <w:tc>
          <w:tcPr>
            <w:tcW w:w="1805" w:type="dxa"/>
            <w:vMerge w:val="continue"/>
            <w:tcBorders>
              <w:top w:val="nil"/>
              <w:bottom w:val="single" w:color="000000" w:sz="6" w:space="0"/>
            </w:tcBorders>
          </w:tcPr>
          <w:p>
            <w:pPr>
              <w:rPr>
                <w:sz w:val="2"/>
                <w:szCs w:val="2"/>
              </w:rPr>
            </w:pPr>
          </w:p>
        </w:tc>
        <w:tc>
          <w:tcPr>
            <w:tcW w:w="2357" w:type="dxa"/>
          </w:tcPr>
          <w:p>
            <w:pPr>
              <w:pStyle w:val="11"/>
              <w:rPr>
                <w:rFonts w:ascii="Times New Roman"/>
                <w:sz w:val="20"/>
              </w:rPr>
            </w:pPr>
          </w:p>
        </w:tc>
        <w:tc>
          <w:tcPr>
            <w:tcW w:w="2813" w:type="dxa"/>
          </w:tcPr>
          <w:p>
            <w:pPr>
              <w:pStyle w:val="11"/>
              <w:rPr>
                <w:rFonts w:ascii="Times New Roman"/>
                <w:sz w:val="20"/>
              </w:rPr>
            </w:pPr>
          </w:p>
        </w:tc>
        <w:tc>
          <w:tcPr>
            <w:tcW w:w="1031" w:type="dxa"/>
            <w:tcBorders>
              <w:right w:val="nil"/>
            </w:tcBorders>
          </w:tcPr>
          <w:p>
            <w:pPr>
              <w:pStyle w:val="11"/>
              <w:spacing w:before="85"/>
              <w:ind w:right="203"/>
              <w:jc w:val="right"/>
              <w:rPr>
                <w:sz w:val="21"/>
              </w:rPr>
            </w:pPr>
            <w:r>
              <w:rPr>
                <w:sz w:val="21"/>
              </w:rPr>
              <w:t>年</w:t>
            </w:r>
          </w:p>
        </w:tc>
        <w:tc>
          <w:tcPr>
            <w:tcW w:w="900" w:type="dxa"/>
            <w:tcBorders>
              <w:left w:val="nil"/>
              <w:right w:val="nil"/>
            </w:tcBorders>
          </w:tcPr>
          <w:p>
            <w:pPr>
              <w:pStyle w:val="11"/>
              <w:spacing w:before="85"/>
              <w:ind w:right="148"/>
              <w:jc w:val="right"/>
              <w:rPr>
                <w:sz w:val="21"/>
              </w:rPr>
            </w:pPr>
            <w:r>
              <w:rPr>
                <w:sz w:val="21"/>
              </w:rPr>
              <w:t>月</w:t>
            </w:r>
          </w:p>
        </w:tc>
        <w:tc>
          <w:tcPr>
            <w:tcW w:w="712" w:type="dxa"/>
            <w:tcBorders>
              <w:left w:val="nil"/>
            </w:tcBorders>
          </w:tcPr>
          <w:p>
            <w:pPr>
              <w:pStyle w:val="11"/>
              <w:spacing w:before="85"/>
              <w:ind w:right="12"/>
              <w:jc w:val="right"/>
              <w:rPr>
                <w:sz w:val="21"/>
              </w:rPr>
            </w:pPr>
            <w:r>
              <w:rPr>
                <w:sz w:val="21"/>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trPr>
        <w:tc>
          <w:tcPr>
            <w:tcW w:w="1805" w:type="dxa"/>
            <w:vMerge w:val="continue"/>
            <w:tcBorders>
              <w:top w:val="nil"/>
              <w:bottom w:val="single" w:color="000000" w:sz="6" w:space="0"/>
            </w:tcBorders>
          </w:tcPr>
          <w:p>
            <w:pPr>
              <w:rPr>
                <w:sz w:val="2"/>
                <w:szCs w:val="2"/>
              </w:rPr>
            </w:pPr>
          </w:p>
        </w:tc>
        <w:tc>
          <w:tcPr>
            <w:tcW w:w="2357" w:type="dxa"/>
          </w:tcPr>
          <w:p>
            <w:pPr>
              <w:pStyle w:val="11"/>
              <w:rPr>
                <w:rFonts w:ascii="Times New Roman"/>
                <w:sz w:val="20"/>
              </w:rPr>
            </w:pPr>
          </w:p>
        </w:tc>
        <w:tc>
          <w:tcPr>
            <w:tcW w:w="2813" w:type="dxa"/>
          </w:tcPr>
          <w:p>
            <w:pPr>
              <w:pStyle w:val="11"/>
              <w:rPr>
                <w:rFonts w:ascii="Times New Roman"/>
                <w:sz w:val="20"/>
              </w:rPr>
            </w:pPr>
          </w:p>
        </w:tc>
        <w:tc>
          <w:tcPr>
            <w:tcW w:w="1031" w:type="dxa"/>
            <w:tcBorders>
              <w:right w:val="nil"/>
            </w:tcBorders>
          </w:tcPr>
          <w:p>
            <w:pPr>
              <w:pStyle w:val="11"/>
              <w:spacing w:before="5"/>
              <w:ind w:right="203"/>
              <w:jc w:val="right"/>
              <w:rPr>
                <w:sz w:val="21"/>
              </w:rPr>
            </w:pPr>
            <w:r>
              <w:rPr>
                <w:sz w:val="21"/>
              </w:rPr>
              <w:t>年</w:t>
            </w:r>
          </w:p>
        </w:tc>
        <w:tc>
          <w:tcPr>
            <w:tcW w:w="900" w:type="dxa"/>
            <w:tcBorders>
              <w:left w:val="nil"/>
              <w:right w:val="nil"/>
            </w:tcBorders>
          </w:tcPr>
          <w:p>
            <w:pPr>
              <w:pStyle w:val="11"/>
              <w:spacing w:before="5"/>
              <w:ind w:right="148"/>
              <w:jc w:val="right"/>
              <w:rPr>
                <w:sz w:val="21"/>
              </w:rPr>
            </w:pPr>
            <w:r>
              <w:rPr>
                <w:sz w:val="21"/>
              </w:rPr>
              <w:t>月</w:t>
            </w:r>
          </w:p>
        </w:tc>
        <w:tc>
          <w:tcPr>
            <w:tcW w:w="712" w:type="dxa"/>
            <w:tcBorders>
              <w:left w:val="nil"/>
            </w:tcBorders>
          </w:tcPr>
          <w:p>
            <w:pPr>
              <w:pStyle w:val="11"/>
              <w:spacing w:before="5"/>
              <w:ind w:right="12"/>
              <w:jc w:val="right"/>
              <w:rPr>
                <w:sz w:val="21"/>
              </w:rPr>
            </w:pPr>
            <w:r>
              <w:rPr>
                <w:sz w:val="21"/>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atLeast"/>
        </w:trPr>
        <w:tc>
          <w:tcPr>
            <w:tcW w:w="1805" w:type="dxa"/>
            <w:vMerge w:val="continue"/>
            <w:tcBorders>
              <w:top w:val="nil"/>
              <w:bottom w:val="single" w:color="000000" w:sz="6" w:space="0"/>
            </w:tcBorders>
          </w:tcPr>
          <w:p>
            <w:pPr>
              <w:rPr>
                <w:sz w:val="2"/>
                <w:szCs w:val="2"/>
              </w:rPr>
            </w:pPr>
          </w:p>
        </w:tc>
        <w:tc>
          <w:tcPr>
            <w:tcW w:w="2357" w:type="dxa"/>
          </w:tcPr>
          <w:p>
            <w:pPr>
              <w:pStyle w:val="11"/>
              <w:rPr>
                <w:rFonts w:ascii="Times New Roman"/>
                <w:sz w:val="20"/>
              </w:rPr>
            </w:pPr>
          </w:p>
        </w:tc>
        <w:tc>
          <w:tcPr>
            <w:tcW w:w="2813" w:type="dxa"/>
          </w:tcPr>
          <w:p>
            <w:pPr>
              <w:pStyle w:val="11"/>
              <w:rPr>
                <w:rFonts w:ascii="Times New Roman"/>
                <w:sz w:val="20"/>
              </w:rPr>
            </w:pPr>
          </w:p>
        </w:tc>
        <w:tc>
          <w:tcPr>
            <w:tcW w:w="1031" w:type="dxa"/>
            <w:tcBorders>
              <w:right w:val="nil"/>
            </w:tcBorders>
          </w:tcPr>
          <w:p>
            <w:pPr>
              <w:pStyle w:val="11"/>
              <w:spacing w:before="3"/>
              <w:ind w:right="203"/>
              <w:jc w:val="right"/>
              <w:rPr>
                <w:sz w:val="21"/>
              </w:rPr>
            </w:pPr>
            <w:r>
              <w:rPr>
                <w:sz w:val="21"/>
              </w:rPr>
              <w:t>年</w:t>
            </w:r>
          </w:p>
        </w:tc>
        <w:tc>
          <w:tcPr>
            <w:tcW w:w="900" w:type="dxa"/>
            <w:tcBorders>
              <w:left w:val="nil"/>
              <w:right w:val="nil"/>
            </w:tcBorders>
          </w:tcPr>
          <w:p>
            <w:pPr>
              <w:pStyle w:val="11"/>
              <w:spacing w:before="3"/>
              <w:ind w:right="148"/>
              <w:jc w:val="right"/>
              <w:rPr>
                <w:sz w:val="21"/>
              </w:rPr>
            </w:pPr>
            <w:r>
              <w:rPr>
                <w:sz w:val="21"/>
              </w:rPr>
              <w:t>月</w:t>
            </w:r>
          </w:p>
        </w:tc>
        <w:tc>
          <w:tcPr>
            <w:tcW w:w="712" w:type="dxa"/>
            <w:tcBorders>
              <w:left w:val="nil"/>
            </w:tcBorders>
          </w:tcPr>
          <w:p>
            <w:pPr>
              <w:pStyle w:val="11"/>
              <w:spacing w:before="3"/>
              <w:ind w:right="12"/>
              <w:jc w:val="right"/>
              <w:rPr>
                <w:sz w:val="21"/>
              </w:rPr>
            </w:pPr>
            <w:r>
              <w:rPr>
                <w:sz w:val="21"/>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1805" w:type="dxa"/>
            <w:vMerge w:val="continue"/>
            <w:tcBorders>
              <w:top w:val="nil"/>
              <w:bottom w:val="single" w:color="000000" w:sz="6" w:space="0"/>
            </w:tcBorders>
          </w:tcPr>
          <w:p>
            <w:pPr>
              <w:rPr>
                <w:sz w:val="2"/>
                <w:szCs w:val="2"/>
              </w:rPr>
            </w:pPr>
          </w:p>
        </w:tc>
        <w:tc>
          <w:tcPr>
            <w:tcW w:w="2357" w:type="dxa"/>
          </w:tcPr>
          <w:p>
            <w:pPr>
              <w:pStyle w:val="11"/>
              <w:rPr>
                <w:rFonts w:ascii="Times New Roman"/>
                <w:sz w:val="20"/>
              </w:rPr>
            </w:pPr>
          </w:p>
        </w:tc>
        <w:tc>
          <w:tcPr>
            <w:tcW w:w="2813" w:type="dxa"/>
          </w:tcPr>
          <w:p>
            <w:pPr>
              <w:pStyle w:val="11"/>
              <w:rPr>
                <w:rFonts w:ascii="Times New Roman"/>
                <w:sz w:val="20"/>
              </w:rPr>
            </w:pPr>
          </w:p>
        </w:tc>
        <w:tc>
          <w:tcPr>
            <w:tcW w:w="1031" w:type="dxa"/>
            <w:tcBorders>
              <w:right w:val="nil"/>
            </w:tcBorders>
          </w:tcPr>
          <w:p>
            <w:pPr>
              <w:pStyle w:val="11"/>
              <w:spacing w:before="5"/>
              <w:ind w:right="203"/>
              <w:jc w:val="right"/>
              <w:rPr>
                <w:sz w:val="21"/>
              </w:rPr>
            </w:pPr>
            <w:r>
              <w:rPr>
                <w:sz w:val="21"/>
              </w:rPr>
              <w:t>年</w:t>
            </w:r>
          </w:p>
        </w:tc>
        <w:tc>
          <w:tcPr>
            <w:tcW w:w="900" w:type="dxa"/>
            <w:tcBorders>
              <w:left w:val="nil"/>
              <w:right w:val="nil"/>
            </w:tcBorders>
          </w:tcPr>
          <w:p>
            <w:pPr>
              <w:pStyle w:val="11"/>
              <w:spacing w:before="5"/>
              <w:ind w:right="148"/>
              <w:jc w:val="right"/>
              <w:rPr>
                <w:sz w:val="21"/>
              </w:rPr>
            </w:pPr>
            <w:r>
              <w:rPr>
                <w:sz w:val="21"/>
              </w:rPr>
              <w:t>月</w:t>
            </w:r>
          </w:p>
        </w:tc>
        <w:tc>
          <w:tcPr>
            <w:tcW w:w="712" w:type="dxa"/>
            <w:tcBorders>
              <w:left w:val="nil"/>
            </w:tcBorders>
          </w:tcPr>
          <w:p>
            <w:pPr>
              <w:pStyle w:val="11"/>
              <w:spacing w:before="5"/>
              <w:ind w:right="12"/>
              <w:jc w:val="right"/>
              <w:rPr>
                <w:sz w:val="21"/>
              </w:rPr>
            </w:pPr>
            <w:r>
              <w:rPr>
                <w:sz w:val="21"/>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8" w:hRule="atLeast"/>
        </w:trPr>
        <w:tc>
          <w:tcPr>
            <w:tcW w:w="1805" w:type="dxa"/>
            <w:tcBorders>
              <w:top w:val="single" w:color="000000" w:sz="6" w:space="0"/>
            </w:tcBorders>
          </w:tcPr>
          <w:p>
            <w:pPr>
              <w:pStyle w:val="11"/>
              <w:rPr>
                <w:rFonts w:ascii="Microsoft JhengHei"/>
                <w:b/>
                <w:sz w:val="20"/>
              </w:rPr>
            </w:pPr>
          </w:p>
          <w:p>
            <w:pPr>
              <w:pStyle w:val="11"/>
              <w:spacing w:before="10"/>
              <w:rPr>
                <w:rFonts w:ascii="Microsoft JhengHei"/>
                <w:b/>
                <w:sz w:val="24"/>
              </w:rPr>
            </w:pPr>
          </w:p>
          <w:p>
            <w:pPr>
              <w:pStyle w:val="11"/>
              <w:ind w:left="170"/>
              <w:rPr>
                <w:sz w:val="21"/>
              </w:rPr>
            </w:pPr>
            <w:r>
              <w:rPr>
                <w:sz w:val="21"/>
              </w:rPr>
              <w:t>5.2 验证过程</w:t>
            </w:r>
          </w:p>
        </w:tc>
        <w:tc>
          <w:tcPr>
            <w:tcW w:w="7813" w:type="dxa"/>
            <w:gridSpan w:val="5"/>
          </w:tcPr>
          <w:p>
            <w:pPr>
              <w:pStyle w:val="11"/>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5" w:hRule="atLeast"/>
        </w:trPr>
        <w:tc>
          <w:tcPr>
            <w:tcW w:w="1805" w:type="dxa"/>
          </w:tcPr>
          <w:p>
            <w:pPr>
              <w:pStyle w:val="11"/>
              <w:rPr>
                <w:rFonts w:ascii="Microsoft JhengHei"/>
                <w:b/>
                <w:sz w:val="20"/>
              </w:rPr>
            </w:pPr>
          </w:p>
          <w:p>
            <w:pPr>
              <w:pStyle w:val="11"/>
              <w:spacing w:before="18"/>
              <w:rPr>
                <w:rFonts w:ascii="Microsoft JhengHei"/>
                <w:b/>
                <w:sz w:val="16"/>
              </w:rPr>
            </w:pPr>
          </w:p>
          <w:p>
            <w:pPr>
              <w:pStyle w:val="11"/>
              <w:spacing w:line="244" w:lineRule="auto"/>
              <w:ind w:left="170" w:right="43"/>
              <w:rPr>
                <w:sz w:val="21"/>
              </w:rPr>
            </w:pPr>
            <w:r>
              <w:rPr>
                <w:sz w:val="21"/>
              </w:rPr>
              <w:t>5.3 验证数据分析</w:t>
            </w:r>
          </w:p>
        </w:tc>
        <w:tc>
          <w:tcPr>
            <w:tcW w:w="7813" w:type="dxa"/>
            <w:gridSpan w:val="5"/>
          </w:tcPr>
          <w:p>
            <w:pPr>
              <w:pStyle w:val="11"/>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8" w:hRule="atLeast"/>
        </w:trPr>
        <w:tc>
          <w:tcPr>
            <w:tcW w:w="1805" w:type="dxa"/>
          </w:tcPr>
          <w:p>
            <w:pPr>
              <w:pStyle w:val="11"/>
              <w:rPr>
                <w:rFonts w:ascii="Microsoft JhengHei"/>
                <w:b/>
                <w:sz w:val="20"/>
              </w:rPr>
            </w:pPr>
          </w:p>
          <w:p>
            <w:pPr>
              <w:pStyle w:val="11"/>
              <w:rPr>
                <w:rFonts w:ascii="Microsoft JhengHei"/>
                <w:b/>
                <w:sz w:val="20"/>
              </w:rPr>
            </w:pPr>
          </w:p>
          <w:p>
            <w:pPr>
              <w:pStyle w:val="11"/>
              <w:spacing w:before="5"/>
              <w:rPr>
                <w:rFonts w:ascii="Microsoft JhengHei"/>
                <w:b/>
                <w:sz w:val="10"/>
              </w:rPr>
            </w:pPr>
          </w:p>
          <w:p>
            <w:pPr>
              <w:pStyle w:val="11"/>
              <w:ind w:left="170"/>
              <w:rPr>
                <w:sz w:val="21"/>
              </w:rPr>
            </w:pPr>
            <w:r>
              <w:rPr>
                <w:sz w:val="21"/>
              </w:rPr>
              <w:t>5.4 验证评价</w:t>
            </w:r>
          </w:p>
        </w:tc>
        <w:tc>
          <w:tcPr>
            <w:tcW w:w="7813" w:type="dxa"/>
            <w:gridSpan w:val="5"/>
          </w:tcPr>
          <w:p>
            <w:pPr>
              <w:pStyle w:val="11"/>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9" w:hRule="atLeast"/>
        </w:trPr>
        <w:tc>
          <w:tcPr>
            <w:tcW w:w="1805" w:type="dxa"/>
          </w:tcPr>
          <w:p>
            <w:pPr>
              <w:pStyle w:val="11"/>
              <w:rPr>
                <w:rFonts w:ascii="Microsoft JhengHei"/>
                <w:b/>
                <w:sz w:val="20"/>
              </w:rPr>
            </w:pPr>
          </w:p>
          <w:p>
            <w:pPr>
              <w:pStyle w:val="11"/>
              <w:spacing w:before="10"/>
              <w:rPr>
                <w:rFonts w:ascii="Microsoft JhengHei"/>
                <w:b/>
                <w:sz w:val="24"/>
              </w:rPr>
            </w:pPr>
          </w:p>
          <w:p>
            <w:pPr>
              <w:pStyle w:val="11"/>
              <w:spacing w:before="1" w:line="242" w:lineRule="auto"/>
              <w:ind w:left="170" w:right="43"/>
              <w:rPr>
                <w:sz w:val="21"/>
              </w:rPr>
            </w:pPr>
            <w:r>
              <w:rPr>
                <w:sz w:val="21"/>
              </w:rPr>
              <w:t>5.5 其他应说明的情况</w:t>
            </w:r>
          </w:p>
        </w:tc>
        <w:tc>
          <w:tcPr>
            <w:tcW w:w="7813" w:type="dxa"/>
            <w:gridSpan w:val="5"/>
          </w:tcPr>
          <w:p>
            <w:pPr>
              <w:pStyle w:val="11"/>
              <w:rPr>
                <w:rFonts w:ascii="Times New Roman"/>
                <w:sz w:val="20"/>
              </w:rPr>
            </w:pPr>
          </w:p>
        </w:tc>
      </w:tr>
    </w:tbl>
    <w:p>
      <w:pPr>
        <w:rPr>
          <w:rFonts w:ascii="Times New Roman"/>
          <w:sz w:val="20"/>
        </w:rPr>
        <w:sectPr>
          <w:pgSz w:w="11910" w:h="16850"/>
          <w:pgMar w:top="1600" w:right="740" w:bottom="1500" w:left="1020" w:header="0" w:footer="1316" w:gutter="0"/>
          <w:cols w:space="720" w:num="1"/>
        </w:sectPr>
      </w:pPr>
    </w:p>
    <w:p>
      <w:pPr>
        <w:pStyle w:val="10"/>
        <w:numPr>
          <w:ilvl w:val="0"/>
          <w:numId w:val="5"/>
        </w:numPr>
        <w:tabs>
          <w:tab w:val="left" w:pos="465"/>
          <w:tab w:val="left" w:pos="467"/>
        </w:tabs>
        <w:spacing w:after="47"/>
        <w:ind w:hanging="319"/>
        <w:rPr>
          <w:b/>
          <w:sz w:val="21"/>
        </w:rPr>
      </w:pPr>
      <w:r>
        <w:rPr>
          <w:b/>
          <w:sz w:val="21"/>
        </w:rPr>
        <w:t>附加说明（可选项）</w:t>
      </w:r>
    </w:p>
    <w:tbl>
      <w:tblPr>
        <w:tblStyle w:val="7"/>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96"/>
        <w:gridCol w:w="1295"/>
        <w:gridCol w:w="1081"/>
        <w:gridCol w:w="1621"/>
        <w:gridCol w:w="1441"/>
        <w:gridCol w:w="23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1" w:hRule="atLeast"/>
        </w:trPr>
        <w:tc>
          <w:tcPr>
            <w:tcW w:w="1796" w:type="dxa"/>
          </w:tcPr>
          <w:p>
            <w:pPr>
              <w:pStyle w:val="11"/>
              <w:rPr>
                <w:rFonts w:ascii="Microsoft JhengHei"/>
                <w:b/>
                <w:sz w:val="20"/>
              </w:rPr>
            </w:pPr>
          </w:p>
          <w:p>
            <w:pPr>
              <w:pStyle w:val="11"/>
              <w:spacing w:before="5"/>
              <w:rPr>
                <w:rFonts w:ascii="Microsoft JhengHei"/>
                <w:b/>
                <w:sz w:val="24"/>
              </w:rPr>
            </w:pPr>
          </w:p>
          <w:p>
            <w:pPr>
              <w:pStyle w:val="11"/>
              <w:spacing w:line="244" w:lineRule="auto"/>
              <w:ind w:left="170" w:right="190"/>
              <w:rPr>
                <w:sz w:val="21"/>
              </w:rPr>
            </w:pPr>
            <w:r>
              <w:rPr>
                <w:sz w:val="21"/>
              </w:rPr>
              <w:t>6.1 宣贯标准的建议</w:t>
            </w:r>
          </w:p>
        </w:tc>
        <w:tc>
          <w:tcPr>
            <w:tcW w:w="7837" w:type="dxa"/>
            <w:gridSpan w:val="5"/>
          </w:tcPr>
          <w:p>
            <w:pPr>
              <w:pStyle w:val="11"/>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6" w:hRule="atLeast"/>
        </w:trPr>
        <w:tc>
          <w:tcPr>
            <w:tcW w:w="1796" w:type="dxa"/>
          </w:tcPr>
          <w:p>
            <w:pPr>
              <w:pStyle w:val="11"/>
              <w:rPr>
                <w:rFonts w:ascii="Microsoft JhengHei"/>
                <w:b/>
                <w:sz w:val="20"/>
              </w:rPr>
            </w:pPr>
          </w:p>
          <w:p>
            <w:pPr>
              <w:pStyle w:val="11"/>
              <w:spacing w:before="8"/>
              <w:rPr>
                <w:rFonts w:ascii="Microsoft JhengHei"/>
                <w:b/>
                <w:sz w:val="12"/>
              </w:rPr>
            </w:pPr>
          </w:p>
          <w:p>
            <w:pPr>
              <w:pStyle w:val="11"/>
              <w:spacing w:line="242" w:lineRule="auto"/>
              <w:ind w:left="170" w:right="158"/>
              <w:jc w:val="both"/>
              <w:rPr>
                <w:sz w:val="21"/>
              </w:rPr>
            </w:pPr>
            <w:r>
              <w:rPr>
                <w:sz w:val="21"/>
              </w:rPr>
              <w:t>6.2 修订和废除现行有关标准的建议</w:t>
            </w:r>
          </w:p>
        </w:tc>
        <w:tc>
          <w:tcPr>
            <w:tcW w:w="7837" w:type="dxa"/>
            <w:gridSpan w:val="5"/>
          </w:tcPr>
          <w:p>
            <w:pPr>
              <w:pStyle w:val="11"/>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4" w:hRule="atLeast"/>
        </w:trPr>
        <w:tc>
          <w:tcPr>
            <w:tcW w:w="1796" w:type="dxa"/>
          </w:tcPr>
          <w:p>
            <w:pPr>
              <w:pStyle w:val="11"/>
              <w:rPr>
                <w:rFonts w:ascii="Microsoft JhengHei"/>
                <w:b/>
                <w:sz w:val="20"/>
              </w:rPr>
            </w:pPr>
          </w:p>
          <w:p>
            <w:pPr>
              <w:pStyle w:val="11"/>
              <w:spacing w:before="18"/>
              <w:rPr>
                <w:rFonts w:ascii="Microsoft JhengHei"/>
                <w:b/>
                <w:sz w:val="16"/>
              </w:rPr>
            </w:pPr>
          </w:p>
          <w:p>
            <w:pPr>
              <w:pStyle w:val="11"/>
              <w:spacing w:line="242" w:lineRule="auto"/>
              <w:ind w:left="170" w:right="158"/>
              <w:jc w:val="both"/>
              <w:rPr>
                <w:sz w:val="21"/>
              </w:rPr>
            </w:pPr>
            <w:r>
              <w:rPr>
                <w:sz w:val="21"/>
              </w:rPr>
              <w:t>6.3 重大分歧意见的处理经过和依据</w:t>
            </w:r>
          </w:p>
        </w:tc>
        <w:tc>
          <w:tcPr>
            <w:tcW w:w="7837" w:type="dxa"/>
            <w:gridSpan w:val="5"/>
          </w:tcPr>
          <w:p>
            <w:pPr>
              <w:pStyle w:val="11"/>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7" w:hRule="atLeast"/>
        </w:trPr>
        <w:tc>
          <w:tcPr>
            <w:tcW w:w="1796" w:type="dxa"/>
          </w:tcPr>
          <w:p>
            <w:pPr>
              <w:pStyle w:val="11"/>
              <w:rPr>
                <w:rFonts w:ascii="Microsoft JhengHei"/>
                <w:b/>
                <w:sz w:val="20"/>
              </w:rPr>
            </w:pPr>
          </w:p>
          <w:p>
            <w:pPr>
              <w:pStyle w:val="11"/>
              <w:spacing w:before="9"/>
              <w:rPr>
                <w:rFonts w:ascii="Microsoft JhengHei"/>
                <w:b/>
                <w:sz w:val="20"/>
              </w:rPr>
            </w:pPr>
          </w:p>
          <w:p>
            <w:pPr>
              <w:pStyle w:val="11"/>
              <w:spacing w:line="242" w:lineRule="auto"/>
              <w:ind w:left="170" w:right="190"/>
              <w:rPr>
                <w:sz w:val="21"/>
              </w:rPr>
            </w:pPr>
            <w:r>
              <w:rPr>
                <w:sz w:val="21"/>
              </w:rPr>
              <w:t>6.4 其他需要说明的情况</w:t>
            </w:r>
          </w:p>
        </w:tc>
        <w:tc>
          <w:tcPr>
            <w:tcW w:w="7837" w:type="dxa"/>
            <w:gridSpan w:val="5"/>
          </w:tcPr>
          <w:p>
            <w:pPr>
              <w:pStyle w:val="11"/>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7" w:hRule="atLeast"/>
        </w:trPr>
        <w:tc>
          <w:tcPr>
            <w:tcW w:w="1796" w:type="dxa"/>
          </w:tcPr>
          <w:p>
            <w:pPr>
              <w:pStyle w:val="11"/>
              <w:spacing w:before="9"/>
              <w:rPr>
                <w:rFonts w:ascii="Microsoft JhengHei"/>
                <w:b/>
                <w:sz w:val="28"/>
              </w:rPr>
            </w:pPr>
          </w:p>
          <w:p>
            <w:pPr>
              <w:pStyle w:val="11"/>
              <w:spacing w:before="1"/>
              <w:ind w:left="170"/>
              <w:rPr>
                <w:sz w:val="21"/>
              </w:rPr>
            </w:pPr>
            <w:r>
              <w:rPr>
                <w:sz w:val="21"/>
              </w:rPr>
              <w:t>6.5 参考文献</w:t>
            </w:r>
          </w:p>
        </w:tc>
        <w:tc>
          <w:tcPr>
            <w:tcW w:w="7837" w:type="dxa"/>
            <w:gridSpan w:val="5"/>
          </w:tcPr>
          <w:p>
            <w:pPr>
              <w:pStyle w:val="11"/>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796" w:type="dxa"/>
          </w:tcPr>
          <w:p>
            <w:pPr>
              <w:pStyle w:val="11"/>
              <w:spacing w:before="114"/>
              <w:ind w:left="585"/>
              <w:rPr>
                <w:sz w:val="21"/>
              </w:rPr>
            </w:pPr>
            <w:r>
              <w:rPr>
                <w:sz w:val="21"/>
              </w:rPr>
              <w:t>联系人</w:t>
            </w:r>
          </w:p>
        </w:tc>
        <w:tc>
          <w:tcPr>
            <w:tcW w:w="1295" w:type="dxa"/>
          </w:tcPr>
          <w:p>
            <w:pPr>
              <w:pStyle w:val="11"/>
              <w:spacing w:before="114"/>
              <w:ind w:left="438"/>
              <w:rPr>
                <w:sz w:val="21"/>
              </w:rPr>
            </w:pPr>
          </w:p>
        </w:tc>
        <w:tc>
          <w:tcPr>
            <w:tcW w:w="1081" w:type="dxa"/>
          </w:tcPr>
          <w:p>
            <w:pPr>
              <w:pStyle w:val="11"/>
              <w:spacing w:before="114"/>
              <w:ind w:left="118"/>
              <w:rPr>
                <w:sz w:val="21"/>
              </w:rPr>
            </w:pPr>
            <w:r>
              <w:rPr>
                <w:sz w:val="21"/>
              </w:rPr>
              <w:t>联系电话</w:t>
            </w:r>
          </w:p>
        </w:tc>
        <w:tc>
          <w:tcPr>
            <w:tcW w:w="1621" w:type="dxa"/>
          </w:tcPr>
          <w:p>
            <w:pPr>
              <w:pStyle w:val="11"/>
              <w:spacing w:before="103"/>
              <w:ind w:left="26"/>
              <w:rPr>
                <w:rFonts w:ascii="Arial Unicode MS"/>
                <w:sz w:val="18"/>
              </w:rPr>
            </w:pPr>
          </w:p>
        </w:tc>
        <w:tc>
          <w:tcPr>
            <w:tcW w:w="1441" w:type="dxa"/>
          </w:tcPr>
          <w:p>
            <w:pPr>
              <w:pStyle w:val="11"/>
              <w:spacing w:before="114"/>
              <w:ind w:left="296"/>
              <w:rPr>
                <w:sz w:val="21"/>
              </w:rPr>
            </w:pPr>
            <w:r>
              <w:rPr>
                <w:sz w:val="21"/>
              </w:rPr>
              <w:t>电子邮箱</w:t>
            </w:r>
          </w:p>
        </w:tc>
        <w:tc>
          <w:tcPr>
            <w:tcW w:w="2399" w:type="dxa"/>
          </w:tcPr>
          <w:p>
            <w:pPr>
              <w:pStyle w:val="11"/>
              <w:spacing w:before="114"/>
              <w:ind w:left="39"/>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6" w:hRule="atLeast"/>
        </w:trPr>
        <w:tc>
          <w:tcPr>
            <w:tcW w:w="9633" w:type="dxa"/>
            <w:gridSpan w:val="6"/>
          </w:tcPr>
          <w:p>
            <w:pPr>
              <w:pStyle w:val="11"/>
              <w:spacing w:before="63"/>
              <w:ind w:left="470"/>
              <w:rPr>
                <w:sz w:val="21"/>
              </w:rPr>
            </w:pPr>
            <w:r>
              <w:rPr>
                <w:sz w:val="21"/>
              </w:rPr>
              <w:t>注 1：本格式的通用部分为第 1 章、第 2 章、第 4 章和第 6 章。</w:t>
            </w:r>
          </w:p>
          <w:p>
            <w:pPr>
              <w:pStyle w:val="11"/>
              <w:spacing w:before="15"/>
              <w:rPr>
                <w:rFonts w:ascii="Microsoft JhengHei"/>
                <w:b/>
                <w:sz w:val="10"/>
              </w:rPr>
            </w:pPr>
          </w:p>
          <w:p>
            <w:pPr>
              <w:pStyle w:val="11"/>
              <w:spacing w:line="364" w:lineRule="auto"/>
              <w:ind w:left="28" w:right="16" w:firstLine="442"/>
              <w:rPr>
                <w:sz w:val="21"/>
              </w:rPr>
            </w:pPr>
            <w:r>
              <w:rPr>
                <w:spacing w:val="-10"/>
                <w:sz w:val="21"/>
              </w:rPr>
              <w:t xml:space="preserve">注 </w:t>
            </w:r>
            <w:r>
              <w:rPr>
                <w:sz w:val="21"/>
              </w:rPr>
              <w:t>2：3.4</w:t>
            </w:r>
            <w:r>
              <w:rPr>
                <w:spacing w:val="-6"/>
                <w:sz w:val="21"/>
              </w:rPr>
              <w:t xml:space="preserve"> 适用于标准草案送审稿，</w:t>
            </w:r>
            <w:r>
              <w:rPr>
                <w:sz w:val="21"/>
              </w:rPr>
              <w:t>3.5</w:t>
            </w:r>
            <w:r>
              <w:rPr>
                <w:spacing w:val="-6"/>
                <w:sz w:val="21"/>
              </w:rPr>
              <w:t xml:space="preserve"> 适用于标准草案报批稿，</w:t>
            </w:r>
            <w:r>
              <w:rPr>
                <w:sz w:val="21"/>
              </w:rPr>
              <w:t>3.6</w:t>
            </w:r>
            <w:r>
              <w:rPr>
                <w:spacing w:val="-6"/>
                <w:sz w:val="21"/>
              </w:rPr>
              <w:t xml:space="preserve"> 中“预期的管理目标”适用于</w:t>
            </w:r>
            <w:r>
              <w:rPr>
                <w:spacing w:val="-4"/>
                <w:sz w:val="21"/>
              </w:rPr>
              <w:t>规程类标准</w:t>
            </w:r>
            <w:r>
              <w:rPr>
                <w:sz w:val="21"/>
              </w:rPr>
              <w:t>，3.6</w:t>
            </w:r>
            <w:r>
              <w:rPr>
                <w:spacing w:val="-11"/>
                <w:sz w:val="21"/>
              </w:rPr>
              <w:t xml:space="preserve"> 中“技术指标”适用于方法类标准，第 </w:t>
            </w:r>
            <w:r>
              <w:rPr>
                <w:sz w:val="21"/>
              </w:rPr>
              <w:t>5</w:t>
            </w:r>
            <w:r>
              <w:rPr>
                <w:spacing w:val="-9"/>
                <w:sz w:val="21"/>
              </w:rPr>
              <w:t xml:space="preserve"> 章适用于方法类标准编制说明的编写。</w:t>
            </w:r>
          </w:p>
          <w:p>
            <w:pPr>
              <w:pStyle w:val="11"/>
              <w:spacing w:before="58"/>
              <w:ind w:left="470"/>
              <w:rPr>
                <w:sz w:val="21"/>
              </w:rPr>
            </w:pPr>
            <w:r>
              <w:rPr>
                <w:sz w:val="21"/>
              </w:rPr>
              <w:t>注 3：3.1 和第 6 章为可选项，其余为必填项。</w:t>
            </w:r>
          </w:p>
        </w:tc>
      </w:tr>
    </w:tbl>
    <w:p>
      <w:pPr>
        <w:tabs>
          <w:tab w:val="left" w:pos="7753"/>
        </w:tabs>
        <w:spacing w:before="1"/>
        <w:ind w:left="6491"/>
        <w:rPr>
          <w:sz w:val="21"/>
        </w:rPr>
      </w:pPr>
      <w:r>
        <w:rPr>
          <w:sz w:val="21"/>
        </w:rPr>
        <w:t>编写</w:t>
      </w:r>
      <w:r>
        <w:rPr>
          <w:spacing w:val="-3"/>
          <w:sz w:val="21"/>
        </w:rPr>
        <w:t>日</w:t>
      </w:r>
      <w:r>
        <w:rPr>
          <w:sz w:val="21"/>
        </w:rPr>
        <w:t>期：</w:t>
      </w:r>
      <w:r>
        <w:rPr>
          <w:sz w:val="21"/>
        </w:rPr>
        <w:tab/>
      </w:r>
      <w:r>
        <w:rPr>
          <w:sz w:val="21"/>
        </w:rPr>
        <w:t>202</w:t>
      </w:r>
      <w:r>
        <w:rPr>
          <w:rFonts w:hint="eastAsia"/>
          <w:sz w:val="21"/>
          <w:lang w:val="en-US"/>
        </w:rPr>
        <w:t>2</w:t>
      </w:r>
      <w:r>
        <w:rPr>
          <w:sz w:val="21"/>
        </w:rPr>
        <w:t>年</w:t>
      </w:r>
      <w:r>
        <w:rPr>
          <w:rFonts w:hint="eastAsia"/>
          <w:spacing w:val="-53"/>
          <w:sz w:val="21"/>
          <w:lang w:val="en-US"/>
        </w:rPr>
        <w:t>6</w:t>
      </w:r>
      <w:r>
        <w:rPr>
          <w:sz w:val="21"/>
        </w:rPr>
        <w:t>月</w:t>
      </w:r>
      <w:r>
        <w:rPr>
          <w:rFonts w:hint="eastAsia"/>
          <w:spacing w:val="-52"/>
          <w:sz w:val="21"/>
          <w:lang w:val="en-US"/>
        </w:rPr>
        <w:t>17</w:t>
      </w:r>
      <w:r>
        <w:rPr>
          <w:sz w:val="21"/>
        </w:rPr>
        <w:t>日</w:t>
      </w:r>
    </w:p>
    <w:sectPr>
      <w:pgSz w:w="11910" w:h="16850"/>
      <w:pgMar w:top="1600" w:right="740" w:bottom="1580" w:left="1020" w:header="0" w:footer="131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b w:val="0"/>
        <w:sz w:val="16"/>
      </w:rPr>
    </w:pPr>
    <w:r>
      <w:rPr>
        <w:lang w:val="en-US" w:bidi="ar-SA"/>
      </w:rPr>
      <w:pict>
        <v:shape id="_x0000_s2049" o:spid="_x0000_s2049" o:spt="202" type="#_x0000_t202" style="position:absolute;left:0pt;margin-left:284.75pt;margin-top:761.2pt;height:14pt;width:15.55pt;mso-position-horizontal-relative:page;mso-position-vertical-relative:page;z-index:-251657216;mso-width-relative:page;mso-height-relative:page;" filled="f" stroked="f" coordsize="21600,21600" o:gfxdata="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1SVCStkAAAANAQAADwAAAAAAAAABACAAAAAiAAAAZHJzL2Rvd25yZXYueG1sUEsB&#10;AhQAFAAAAAgAh07iQKIhr2e7AQAAcQMAAA4AAAAAAAAAAQAgAAAAKAEAAGRycy9lMm9Eb2MueG1s&#10;UEsFBgAAAAAGAAYAWQEAAFUFAAAAAA==&#10;">
          <v:path/>
          <v:fill on="f" focussize="0,0"/>
          <v:stroke on="f" joinstyle="miter"/>
          <v:imagedata o:title=""/>
          <o:lock v:ext="edit"/>
          <v:textbox inset="0mm,0mm,0mm,0mm">
            <w:txbxContent>
              <w:p>
                <w:pPr>
                  <w:spacing w:line="264" w:lineRule="exact"/>
                  <w:ind w:left="20"/>
                  <w:rPr>
                    <w:rFonts w:ascii="Calibri"/>
                    <w:sz w:val="24"/>
                  </w:rPr>
                </w:pPr>
                <w:r>
                  <w:rPr>
                    <w:rFonts w:ascii="Calibri"/>
                    <w:sz w:val="24"/>
                  </w:rPr>
                  <w:t>-</w:t>
                </w:r>
                <w:r>
                  <w:fldChar w:fldCharType="begin"/>
                </w:r>
                <w:r>
                  <w:rPr>
                    <w:rFonts w:ascii="Calibri"/>
                    <w:sz w:val="24"/>
                  </w:rPr>
                  <w:instrText xml:space="preserve"> PAGE </w:instrText>
                </w:r>
                <w:r>
                  <w:fldChar w:fldCharType="separate"/>
                </w:r>
                <w:r>
                  <w:rPr>
                    <w:rFonts w:ascii="Calibri"/>
                    <w:sz w:val="24"/>
                  </w:rPr>
                  <w:t>1</w:t>
                </w:r>
                <w:r>
                  <w:fldChar w:fldCharType="end"/>
                </w:r>
                <w:r>
                  <w:rPr>
                    <w:rFonts w:ascii="Calibri"/>
                    <w:sz w:val="24"/>
                  </w:rPr>
                  <w:t>-</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5"/>
      <w:numFmt w:val="decimal"/>
      <w:lvlText w:val="%1"/>
      <w:lvlJc w:val="left"/>
      <w:pPr>
        <w:ind w:left="466" w:hanging="318"/>
      </w:pPr>
      <w:rPr>
        <w:rFonts w:hint="default" w:ascii="Microsoft JhengHei" w:hAnsi="Microsoft JhengHei" w:eastAsia="Microsoft JhengHei" w:cs="Microsoft JhengHei"/>
        <w:b/>
        <w:bCs/>
        <w:w w:val="84"/>
        <w:sz w:val="21"/>
        <w:szCs w:val="21"/>
        <w:lang w:val="zh-CN" w:eastAsia="zh-CN" w:bidi="zh-CN"/>
      </w:rPr>
    </w:lvl>
    <w:lvl w:ilvl="1" w:tentative="0">
      <w:start w:val="0"/>
      <w:numFmt w:val="bullet"/>
      <w:lvlText w:val="•"/>
      <w:lvlJc w:val="left"/>
      <w:pPr>
        <w:ind w:left="1428" w:hanging="318"/>
      </w:pPr>
      <w:rPr>
        <w:rFonts w:hint="default"/>
        <w:lang w:val="zh-CN" w:eastAsia="zh-CN" w:bidi="zh-CN"/>
      </w:rPr>
    </w:lvl>
    <w:lvl w:ilvl="2" w:tentative="0">
      <w:start w:val="0"/>
      <w:numFmt w:val="bullet"/>
      <w:lvlText w:val="•"/>
      <w:lvlJc w:val="left"/>
      <w:pPr>
        <w:ind w:left="2397" w:hanging="318"/>
      </w:pPr>
      <w:rPr>
        <w:rFonts w:hint="default"/>
        <w:lang w:val="zh-CN" w:eastAsia="zh-CN" w:bidi="zh-CN"/>
      </w:rPr>
    </w:lvl>
    <w:lvl w:ilvl="3" w:tentative="0">
      <w:start w:val="0"/>
      <w:numFmt w:val="bullet"/>
      <w:lvlText w:val="•"/>
      <w:lvlJc w:val="left"/>
      <w:pPr>
        <w:ind w:left="3365" w:hanging="318"/>
      </w:pPr>
      <w:rPr>
        <w:rFonts w:hint="default"/>
        <w:lang w:val="zh-CN" w:eastAsia="zh-CN" w:bidi="zh-CN"/>
      </w:rPr>
    </w:lvl>
    <w:lvl w:ilvl="4" w:tentative="0">
      <w:start w:val="0"/>
      <w:numFmt w:val="bullet"/>
      <w:lvlText w:val="•"/>
      <w:lvlJc w:val="left"/>
      <w:pPr>
        <w:ind w:left="4334" w:hanging="318"/>
      </w:pPr>
      <w:rPr>
        <w:rFonts w:hint="default"/>
        <w:lang w:val="zh-CN" w:eastAsia="zh-CN" w:bidi="zh-CN"/>
      </w:rPr>
    </w:lvl>
    <w:lvl w:ilvl="5" w:tentative="0">
      <w:start w:val="0"/>
      <w:numFmt w:val="bullet"/>
      <w:lvlText w:val="•"/>
      <w:lvlJc w:val="left"/>
      <w:pPr>
        <w:ind w:left="5303" w:hanging="318"/>
      </w:pPr>
      <w:rPr>
        <w:rFonts w:hint="default"/>
        <w:lang w:val="zh-CN" w:eastAsia="zh-CN" w:bidi="zh-CN"/>
      </w:rPr>
    </w:lvl>
    <w:lvl w:ilvl="6" w:tentative="0">
      <w:start w:val="0"/>
      <w:numFmt w:val="bullet"/>
      <w:lvlText w:val="•"/>
      <w:lvlJc w:val="left"/>
      <w:pPr>
        <w:ind w:left="6271" w:hanging="318"/>
      </w:pPr>
      <w:rPr>
        <w:rFonts w:hint="default"/>
        <w:lang w:val="zh-CN" w:eastAsia="zh-CN" w:bidi="zh-CN"/>
      </w:rPr>
    </w:lvl>
    <w:lvl w:ilvl="7" w:tentative="0">
      <w:start w:val="0"/>
      <w:numFmt w:val="bullet"/>
      <w:lvlText w:val="•"/>
      <w:lvlJc w:val="left"/>
      <w:pPr>
        <w:ind w:left="7240" w:hanging="318"/>
      </w:pPr>
      <w:rPr>
        <w:rFonts w:hint="default"/>
        <w:lang w:val="zh-CN" w:eastAsia="zh-CN" w:bidi="zh-CN"/>
      </w:rPr>
    </w:lvl>
    <w:lvl w:ilvl="8" w:tentative="0">
      <w:start w:val="0"/>
      <w:numFmt w:val="bullet"/>
      <w:lvlText w:val="•"/>
      <w:lvlJc w:val="left"/>
      <w:pPr>
        <w:ind w:left="8209" w:hanging="318"/>
      </w:pPr>
      <w:rPr>
        <w:rFonts w:hint="default"/>
        <w:lang w:val="zh-CN" w:eastAsia="zh-CN" w:bidi="zh-CN"/>
      </w:rPr>
    </w:lvl>
  </w:abstractNum>
  <w:abstractNum w:abstractNumId="1">
    <w:nsid w:val="BF205925"/>
    <w:multiLevelType w:val="multilevel"/>
    <w:tmpl w:val="BF205925"/>
    <w:lvl w:ilvl="0" w:tentative="0">
      <w:start w:val="1"/>
      <w:numFmt w:val="decimal"/>
      <w:lvlText w:val="%1."/>
      <w:lvlJc w:val="left"/>
      <w:pPr>
        <w:ind w:left="869" w:hanging="420"/>
      </w:pPr>
      <w:rPr>
        <w:rFonts w:hint="default" w:ascii="宋体" w:hAnsi="宋体" w:eastAsia="宋体" w:cs="宋体"/>
        <w:w w:val="100"/>
        <w:sz w:val="21"/>
        <w:szCs w:val="21"/>
        <w:lang w:val="zh-CN" w:eastAsia="zh-CN" w:bidi="zh-CN"/>
      </w:rPr>
    </w:lvl>
    <w:lvl w:ilvl="1" w:tentative="0">
      <w:start w:val="0"/>
      <w:numFmt w:val="bullet"/>
      <w:lvlText w:val="•"/>
      <w:lvlJc w:val="left"/>
      <w:pPr>
        <w:ind w:left="1764" w:hanging="420"/>
      </w:pPr>
      <w:rPr>
        <w:rFonts w:hint="default"/>
        <w:lang w:val="zh-CN" w:eastAsia="zh-CN" w:bidi="zh-CN"/>
      </w:rPr>
    </w:lvl>
    <w:lvl w:ilvl="2" w:tentative="0">
      <w:start w:val="0"/>
      <w:numFmt w:val="bullet"/>
      <w:lvlText w:val="•"/>
      <w:lvlJc w:val="left"/>
      <w:pPr>
        <w:ind w:left="2669" w:hanging="420"/>
      </w:pPr>
      <w:rPr>
        <w:rFonts w:hint="default"/>
        <w:lang w:val="zh-CN" w:eastAsia="zh-CN" w:bidi="zh-CN"/>
      </w:rPr>
    </w:lvl>
    <w:lvl w:ilvl="3" w:tentative="0">
      <w:start w:val="0"/>
      <w:numFmt w:val="bullet"/>
      <w:lvlText w:val="•"/>
      <w:lvlJc w:val="left"/>
      <w:pPr>
        <w:ind w:left="3573" w:hanging="420"/>
      </w:pPr>
      <w:rPr>
        <w:rFonts w:hint="default"/>
        <w:lang w:val="zh-CN" w:eastAsia="zh-CN" w:bidi="zh-CN"/>
      </w:rPr>
    </w:lvl>
    <w:lvl w:ilvl="4" w:tentative="0">
      <w:start w:val="0"/>
      <w:numFmt w:val="bullet"/>
      <w:lvlText w:val="•"/>
      <w:lvlJc w:val="left"/>
      <w:pPr>
        <w:ind w:left="4478" w:hanging="420"/>
      </w:pPr>
      <w:rPr>
        <w:rFonts w:hint="default"/>
        <w:lang w:val="zh-CN" w:eastAsia="zh-CN" w:bidi="zh-CN"/>
      </w:rPr>
    </w:lvl>
    <w:lvl w:ilvl="5" w:tentative="0">
      <w:start w:val="0"/>
      <w:numFmt w:val="bullet"/>
      <w:lvlText w:val="•"/>
      <w:lvlJc w:val="left"/>
      <w:pPr>
        <w:ind w:left="5382" w:hanging="420"/>
      </w:pPr>
      <w:rPr>
        <w:rFonts w:hint="default"/>
        <w:lang w:val="zh-CN" w:eastAsia="zh-CN" w:bidi="zh-CN"/>
      </w:rPr>
    </w:lvl>
    <w:lvl w:ilvl="6" w:tentative="0">
      <w:start w:val="0"/>
      <w:numFmt w:val="bullet"/>
      <w:lvlText w:val="•"/>
      <w:lvlJc w:val="left"/>
      <w:pPr>
        <w:ind w:left="6287" w:hanging="420"/>
      </w:pPr>
      <w:rPr>
        <w:rFonts w:hint="default"/>
        <w:lang w:val="zh-CN" w:eastAsia="zh-CN" w:bidi="zh-CN"/>
      </w:rPr>
    </w:lvl>
    <w:lvl w:ilvl="7" w:tentative="0">
      <w:start w:val="0"/>
      <w:numFmt w:val="bullet"/>
      <w:lvlText w:val="•"/>
      <w:lvlJc w:val="left"/>
      <w:pPr>
        <w:ind w:left="7191" w:hanging="420"/>
      </w:pPr>
      <w:rPr>
        <w:rFonts w:hint="default"/>
        <w:lang w:val="zh-CN" w:eastAsia="zh-CN" w:bidi="zh-CN"/>
      </w:rPr>
    </w:lvl>
    <w:lvl w:ilvl="8" w:tentative="0">
      <w:start w:val="0"/>
      <w:numFmt w:val="bullet"/>
      <w:lvlText w:val="•"/>
      <w:lvlJc w:val="left"/>
      <w:pPr>
        <w:ind w:left="8096" w:hanging="420"/>
      </w:pPr>
      <w:rPr>
        <w:rFonts w:hint="default"/>
        <w:lang w:val="zh-CN" w:eastAsia="zh-CN" w:bidi="zh-CN"/>
      </w:rPr>
    </w:lvl>
  </w:abstractNum>
  <w:abstractNum w:abstractNumId="2">
    <w:nsid w:val="F2B89510"/>
    <w:multiLevelType w:val="singleLevel"/>
    <w:tmpl w:val="F2B89510"/>
    <w:lvl w:ilvl="0" w:tentative="0">
      <w:start w:val="4"/>
      <w:numFmt w:val="decimal"/>
      <w:lvlText w:val="%1"/>
      <w:lvlJc w:val="left"/>
    </w:lvl>
  </w:abstractNum>
  <w:abstractNum w:abstractNumId="3">
    <w:nsid w:val="0053208E"/>
    <w:multiLevelType w:val="multilevel"/>
    <w:tmpl w:val="0053208E"/>
    <w:lvl w:ilvl="0" w:tentative="0">
      <w:start w:val="0"/>
      <w:numFmt w:val="bullet"/>
      <w:lvlText w:val="■"/>
      <w:lvlJc w:val="left"/>
      <w:pPr>
        <w:ind w:left="240" w:hanging="213"/>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353" w:hanging="213"/>
      </w:pPr>
      <w:rPr>
        <w:rFonts w:hint="default"/>
        <w:lang w:val="zh-CN" w:eastAsia="zh-CN" w:bidi="zh-CN"/>
      </w:rPr>
    </w:lvl>
    <w:lvl w:ilvl="2" w:tentative="0">
      <w:start w:val="0"/>
      <w:numFmt w:val="bullet"/>
      <w:lvlText w:val="•"/>
      <w:lvlJc w:val="left"/>
      <w:pPr>
        <w:ind w:left="467" w:hanging="213"/>
      </w:pPr>
      <w:rPr>
        <w:rFonts w:hint="default"/>
        <w:lang w:val="zh-CN" w:eastAsia="zh-CN" w:bidi="zh-CN"/>
      </w:rPr>
    </w:lvl>
    <w:lvl w:ilvl="3" w:tentative="0">
      <w:start w:val="0"/>
      <w:numFmt w:val="bullet"/>
      <w:lvlText w:val="•"/>
      <w:lvlJc w:val="left"/>
      <w:pPr>
        <w:ind w:left="581" w:hanging="213"/>
      </w:pPr>
      <w:rPr>
        <w:rFonts w:hint="default"/>
        <w:lang w:val="zh-CN" w:eastAsia="zh-CN" w:bidi="zh-CN"/>
      </w:rPr>
    </w:lvl>
    <w:lvl w:ilvl="4" w:tentative="0">
      <w:start w:val="0"/>
      <w:numFmt w:val="bullet"/>
      <w:lvlText w:val="•"/>
      <w:lvlJc w:val="left"/>
      <w:pPr>
        <w:ind w:left="694" w:hanging="213"/>
      </w:pPr>
      <w:rPr>
        <w:rFonts w:hint="default"/>
        <w:lang w:val="zh-CN" w:eastAsia="zh-CN" w:bidi="zh-CN"/>
      </w:rPr>
    </w:lvl>
    <w:lvl w:ilvl="5" w:tentative="0">
      <w:start w:val="0"/>
      <w:numFmt w:val="bullet"/>
      <w:lvlText w:val="•"/>
      <w:lvlJc w:val="left"/>
      <w:pPr>
        <w:ind w:left="808" w:hanging="213"/>
      </w:pPr>
      <w:rPr>
        <w:rFonts w:hint="default"/>
        <w:lang w:val="zh-CN" w:eastAsia="zh-CN" w:bidi="zh-CN"/>
      </w:rPr>
    </w:lvl>
    <w:lvl w:ilvl="6" w:tentative="0">
      <w:start w:val="0"/>
      <w:numFmt w:val="bullet"/>
      <w:lvlText w:val="•"/>
      <w:lvlJc w:val="left"/>
      <w:pPr>
        <w:ind w:left="922" w:hanging="213"/>
      </w:pPr>
      <w:rPr>
        <w:rFonts w:hint="default"/>
        <w:lang w:val="zh-CN" w:eastAsia="zh-CN" w:bidi="zh-CN"/>
      </w:rPr>
    </w:lvl>
    <w:lvl w:ilvl="7" w:tentative="0">
      <w:start w:val="0"/>
      <w:numFmt w:val="bullet"/>
      <w:lvlText w:val="•"/>
      <w:lvlJc w:val="left"/>
      <w:pPr>
        <w:ind w:left="1035" w:hanging="213"/>
      </w:pPr>
      <w:rPr>
        <w:rFonts w:hint="default"/>
        <w:lang w:val="zh-CN" w:eastAsia="zh-CN" w:bidi="zh-CN"/>
      </w:rPr>
    </w:lvl>
    <w:lvl w:ilvl="8" w:tentative="0">
      <w:start w:val="0"/>
      <w:numFmt w:val="bullet"/>
      <w:lvlText w:val="•"/>
      <w:lvlJc w:val="left"/>
      <w:pPr>
        <w:ind w:left="1149" w:hanging="213"/>
      </w:pPr>
      <w:rPr>
        <w:rFonts w:hint="default"/>
        <w:lang w:val="zh-CN" w:eastAsia="zh-CN" w:bidi="zh-CN"/>
      </w:rPr>
    </w:lvl>
  </w:abstractNum>
  <w:abstractNum w:abstractNumId="4">
    <w:nsid w:val="7CE1F9C5"/>
    <w:multiLevelType w:val="singleLevel"/>
    <w:tmpl w:val="7CE1F9C5"/>
    <w:lvl w:ilvl="0" w:tentative="0">
      <w:start w:val="2"/>
      <w:numFmt w:val="decimal"/>
      <w:suff w:val="nothing"/>
      <w:lvlText w:val="%1、"/>
      <w:lvlJc w:val="left"/>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drawingGridHorizontalSpacing w:val="110"/>
  <w:noPunctuationKerning w:val="1"/>
  <w:characterSpacingControl w:val="doNotCompress"/>
  <w:hdrShapeDefaults>
    <o:shapelayout v:ext="edit">
      <o:idmap v:ext="edit" data="2"/>
    </o:shapelayout>
  </w:hdrShapeDefaults>
  <w:compat>
    <w:ulTrailSpace/>
    <w:doNotExpandShiftReturn/>
    <w:doNotWrapTextWithPunct/>
    <w:doNotUseEastAsianBreakRules/>
    <w:useFELayout/>
    <w:doNotUseIndentAsNumberingTabStop/>
    <w:compatSetting w:name="compatibilityMode" w:uri="http://schemas.microsoft.com/office/word" w:val="12"/>
  </w:compat>
  <w:docVars>
    <w:docVar w:name="commondata" w:val="eyJoZGlkIjoiMDAyZjIyMzliZjNhOGZkNzA3YWFlNzhiYjNhNzI1Y2YifQ=="/>
  </w:docVars>
  <w:rsids>
    <w:rsidRoot w:val="00F71C5F"/>
    <w:rsid w:val="000D2C1F"/>
    <w:rsid w:val="000F5E2D"/>
    <w:rsid w:val="00104B25"/>
    <w:rsid w:val="00141CAF"/>
    <w:rsid w:val="0015441B"/>
    <w:rsid w:val="00241A00"/>
    <w:rsid w:val="002A7539"/>
    <w:rsid w:val="002E244A"/>
    <w:rsid w:val="002F1E5B"/>
    <w:rsid w:val="002F2F11"/>
    <w:rsid w:val="003710ED"/>
    <w:rsid w:val="003A28CB"/>
    <w:rsid w:val="003E001B"/>
    <w:rsid w:val="0044729D"/>
    <w:rsid w:val="00470A9B"/>
    <w:rsid w:val="004A0DF5"/>
    <w:rsid w:val="004E34E8"/>
    <w:rsid w:val="00505166"/>
    <w:rsid w:val="00533282"/>
    <w:rsid w:val="00596D6B"/>
    <w:rsid w:val="005D336E"/>
    <w:rsid w:val="005F58CF"/>
    <w:rsid w:val="00624EC1"/>
    <w:rsid w:val="006876AE"/>
    <w:rsid w:val="006B5A4C"/>
    <w:rsid w:val="00744961"/>
    <w:rsid w:val="00762753"/>
    <w:rsid w:val="007B35A4"/>
    <w:rsid w:val="007D479B"/>
    <w:rsid w:val="00877055"/>
    <w:rsid w:val="008D3D44"/>
    <w:rsid w:val="0096403C"/>
    <w:rsid w:val="0099646D"/>
    <w:rsid w:val="009E45CE"/>
    <w:rsid w:val="00A86E7D"/>
    <w:rsid w:val="00AE232E"/>
    <w:rsid w:val="00AE7D43"/>
    <w:rsid w:val="00B2349D"/>
    <w:rsid w:val="00B459A2"/>
    <w:rsid w:val="00BA055E"/>
    <w:rsid w:val="00C70137"/>
    <w:rsid w:val="00C758EA"/>
    <w:rsid w:val="00C8042F"/>
    <w:rsid w:val="00CC1527"/>
    <w:rsid w:val="00CF5BE0"/>
    <w:rsid w:val="00D10AFC"/>
    <w:rsid w:val="00D560B9"/>
    <w:rsid w:val="00D80EFC"/>
    <w:rsid w:val="00DE642B"/>
    <w:rsid w:val="00E219A9"/>
    <w:rsid w:val="00E84667"/>
    <w:rsid w:val="00F02D63"/>
    <w:rsid w:val="00F71C5F"/>
    <w:rsid w:val="07590551"/>
    <w:rsid w:val="0B4A6320"/>
    <w:rsid w:val="11440799"/>
    <w:rsid w:val="12B46ADD"/>
    <w:rsid w:val="157828F3"/>
    <w:rsid w:val="167F44B7"/>
    <w:rsid w:val="1807279D"/>
    <w:rsid w:val="1A495ECC"/>
    <w:rsid w:val="1BD85211"/>
    <w:rsid w:val="1F4F275E"/>
    <w:rsid w:val="215F4227"/>
    <w:rsid w:val="21C35E47"/>
    <w:rsid w:val="24323C77"/>
    <w:rsid w:val="26F5627B"/>
    <w:rsid w:val="27EB411E"/>
    <w:rsid w:val="29185558"/>
    <w:rsid w:val="29DB0644"/>
    <w:rsid w:val="2E087CD0"/>
    <w:rsid w:val="2E3C46C5"/>
    <w:rsid w:val="31940F76"/>
    <w:rsid w:val="31973C95"/>
    <w:rsid w:val="322A7F39"/>
    <w:rsid w:val="328A5DEC"/>
    <w:rsid w:val="334F1656"/>
    <w:rsid w:val="344343F4"/>
    <w:rsid w:val="398D09A4"/>
    <w:rsid w:val="43002ED1"/>
    <w:rsid w:val="469847E3"/>
    <w:rsid w:val="48021CD3"/>
    <w:rsid w:val="48313978"/>
    <w:rsid w:val="4B1F4128"/>
    <w:rsid w:val="4DAD6740"/>
    <w:rsid w:val="4E953D7B"/>
    <w:rsid w:val="52E635B0"/>
    <w:rsid w:val="537C6E5A"/>
    <w:rsid w:val="56240E2C"/>
    <w:rsid w:val="56343CFF"/>
    <w:rsid w:val="5975473F"/>
    <w:rsid w:val="5F0B2FEB"/>
    <w:rsid w:val="61273819"/>
    <w:rsid w:val="63DB7FAB"/>
    <w:rsid w:val="63F0603D"/>
    <w:rsid w:val="666F2FD5"/>
    <w:rsid w:val="69767C4D"/>
    <w:rsid w:val="6AA45DD3"/>
    <w:rsid w:val="6BE43DDC"/>
    <w:rsid w:val="6EB66D61"/>
    <w:rsid w:val="7005607D"/>
    <w:rsid w:val="72D32180"/>
    <w:rsid w:val="76C0071E"/>
    <w:rsid w:val="77C225AF"/>
    <w:rsid w:val="7D5E2075"/>
    <w:rsid w:val="7E5B47F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CN" w:eastAsia="zh-CN" w:bidi="zh-CN"/>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1"/>
    <w:rPr>
      <w:rFonts w:ascii="Microsoft JhengHei" w:hAnsi="Microsoft JhengHei" w:eastAsia="Microsoft JhengHei" w:cs="Microsoft JhengHei"/>
      <w:b/>
      <w:bCs/>
      <w:sz w:val="21"/>
      <w:szCs w:val="21"/>
    </w:rPr>
  </w:style>
  <w:style w:type="paragraph" w:styleId="3">
    <w:name w:val="Balloon Text"/>
    <w:basedOn w:val="1"/>
    <w:link w:val="12"/>
    <w:qFormat/>
    <w:uiPriority w:val="0"/>
    <w:rPr>
      <w:sz w:val="18"/>
      <w:szCs w:val="18"/>
    </w:rPr>
  </w:style>
  <w:style w:type="paragraph" w:styleId="4">
    <w:name w:val="footer"/>
    <w:basedOn w:val="1"/>
    <w:link w:val="14"/>
    <w:qFormat/>
    <w:uiPriority w:val="0"/>
    <w:pPr>
      <w:tabs>
        <w:tab w:val="center" w:pos="4153"/>
        <w:tab w:val="right" w:pos="8306"/>
      </w:tabs>
      <w:snapToGrid w:val="0"/>
    </w:pPr>
    <w:rPr>
      <w:sz w:val="18"/>
      <w:szCs w:val="18"/>
    </w:rPr>
  </w:style>
  <w:style w:type="paragraph" w:styleId="5">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Autospacing="1" w:afterAutospacing="1"/>
    </w:pPr>
    <w:rPr>
      <w:rFonts w:cs="Times New Roman"/>
      <w:sz w:val="24"/>
      <w:lang w:val="en-US" w:bidi="ar-SA"/>
    </w:rPr>
  </w:style>
  <w:style w:type="table" w:customStyle="1" w:styleId="9">
    <w:name w:val="Table Normal"/>
    <w:semiHidden/>
    <w:unhideWhenUsed/>
    <w:qFormat/>
    <w:uiPriority w:val="2"/>
    <w:tblPr>
      <w:tblCellMar>
        <w:top w:w="0" w:type="dxa"/>
        <w:left w:w="0" w:type="dxa"/>
        <w:bottom w:w="0" w:type="dxa"/>
        <w:right w:w="0" w:type="dxa"/>
      </w:tblCellMar>
    </w:tblPr>
  </w:style>
  <w:style w:type="paragraph" w:styleId="10">
    <w:name w:val="List Paragraph"/>
    <w:basedOn w:val="1"/>
    <w:qFormat/>
    <w:uiPriority w:val="1"/>
    <w:pPr>
      <w:spacing w:before="3"/>
      <w:ind w:left="466" w:hanging="319"/>
    </w:pPr>
    <w:rPr>
      <w:rFonts w:ascii="Microsoft JhengHei" w:hAnsi="Microsoft JhengHei" w:eastAsia="Microsoft JhengHei" w:cs="Microsoft JhengHei"/>
    </w:rPr>
  </w:style>
  <w:style w:type="paragraph" w:customStyle="1" w:styleId="11">
    <w:name w:val="Table Paragraph"/>
    <w:basedOn w:val="1"/>
    <w:qFormat/>
    <w:uiPriority w:val="1"/>
  </w:style>
  <w:style w:type="character" w:customStyle="1" w:styleId="12">
    <w:name w:val="批注框文本 Char"/>
    <w:basedOn w:val="8"/>
    <w:link w:val="3"/>
    <w:qFormat/>
    <w:uiPriority w:val="0"/>
    <w:rPr>
      <w:rFonts w:ascii="宋体" w:hAnsi="宋体" w:cs="宋体"/>
      <w:sz w:val="18"/>
      <w:szCs w:val="18"/>
      <w:lang w:val="zh-CN" w:bidi="zh-CN"/>
    </w:rPr>
  </w:style>
  <w:style w:type="character" w:customStyle="1" w:styleId="13">
    <w:name w:val="页眉 Char"/>
    <w:basedOn w:val="8"/>
    <w:link w:val="5"/>
    <w:qFormat/>
    <w:uiPriority w:val="0"/>
    <w:rPr>
      <w:rFonts w:ascii="宋体" w:hAnsi="宋体" w:cs="宋体"/>
      <w:sz w:val="18"/>
      <w:szCs w:val="18"/>
      <w:lang w:val="zh-CN" w:bidi="zh-CN"/>
    </w:rPr>
  </w:style>
  <w:style w:type="character" w:customStyle="1" w:styleId="14">
    <w:name w:val="页脚 Char"/>
    <w:basedOn w:val="8"/>
    <w:link w:val="4"/>
    <w:qFormat/>
    <w:uiPriority w:val="0"/>
    <w:rPr>
      <w:rFonts w:ascii="宋体" w:hAnsi="宋体" w:cs="宋体"/>
      <w:sz w:val="18"/>
      <w:szCs w:val="18"/>
      <w:lang w:val="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8521712-785A-4814-B84F-AD8711FB50D8}">
  <ds:schemaRefs/>
</ds:datastoreItem>
</file>

<file path=docProps/app.xml><?xml version="1.0" encoding="utf-8"?>
<Properties xmlns="http://schemas.openxmlformats.org/officeDocument/2006/extended-properties" xmlns:vt="http://schemas.openxmlformats.org/officeDocument/2006/docPropsVTypes">
  <Template>Normal</Template>
  <Pages>6</Pages>
  <Words>1588</Words>
  <Characters>1805</Characters>
  <Lines>14</Lines>
  <Paragraphs>4</Paragraphs>
  <TotalTime>9</TotalTime>
  <ScaleCrop>false</ScaleCrop>
  <LinksUpToDate>false</LinksUpToDate>
  <CharactersWithSpaces>1868</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2022-06-17T07:42:00Z</dcterms:created>
  <dc:creator>王春艳</dc:creator>
  <cp:lastModifiedBy>小明</cp:lastModifiedBy>
  <cp:lastPrinted>2022-06-23T06:41:00Z</cp:lastPrinted>
  <dcterms:modified xsi:type="dcterms:W3CDTF">2022-07-07T07:59:37Z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2020-08-04T00:00:00Z</vt:filetime>
  </property>
  <property fmtid="{D5CDD505-2E9C-101B-9397-08002B2CF9AE}" pid="3" name="Creator">
    <vt:lpwstr>Microsoft® Word 2013</vt:lpwstr>
  </property>
  <property fmtid="{D5CDD505-2E9C-101B-9397-08002B2CF9AE}" pid="4" name="LastSaved">
    <vt:filetime>2022-06-17T00:00:00Z</vt:filetime>
  </property>
  <property fmtid="{D5CDD505-2E9C-101B-9397-08002B2CF9AE}" pid="5" name="KSOProductBuildVer">
    <vt:lpwstr>2052-11.1.0.11830</vt:lpwstr>
  </property>
  <property fmtid="{D5CDD505-2E9C-101B-9397-08002B2CF9AE}" pid="6" name="ICV">
    <vt:lpwstr>35E3D824BD3448E082C6C0A7A73E4C53</vt:lpwstr>
  </property>
</Properties>
</file>