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6E0DC17">
      <w:pPr>
        <w:rPr>
          <w:rFonts w:eastAsia="仿宋_GB2312"/>
          <w:b/>
          <w:color w:val="000000"/>
          <w:sz w:val="30"/>
          <w:szCs w:val="30"/>
        </w:rPr>
      </w:pPr>
      <w:r>
        <w:rPr>
          <w:rFonts w:eastAsia="方正仿宋简体"/>
          <w:snapToGrid w:val="0"/>
          <w:color w:val="000000"/>
          <w:kern w:val="0"/>
          <w:sz w:val="32"/>
          <w:szCs w:val="32"/>
        </w:rPr>
        <w:t>附件</w:t>
      </w:r>
      <w:r>
        <w:rPr>
          <w:rFonts w:hint="eastAsia" w:eastAsia="方正仿宋简体"/>
          <w:snapToGrid w:val="0"/>
          <w:color w:val="000000"/>
          <w:kern w:val="0"/>
          <w:sz w:val="32"/>
          <w:szCs w:val="32"/>
        </w:rPr>
        <w:t>7</w:t>
      </w:r>
      <w:r>
        <w:rPr>
          <w:rFonts w:eastAsia="方正仿宋简体"/>
          <w:snapToGrid w:val="0"/>
          <w:color w:val="000000"/>
          <w:kern w:val="0"/>
          <w:sz w:val="32"/>
          <w:szCs w:val="32"/>
        </w:rPr>
        <w:t>：</w:t>
      </w:r>
    </w:p>
    <w:p w14:paraId="11A26657">
      <w:pPr>
        <w:autoSpaceDE w:val="0"/>
        <w:autoSpaceDN w:val="0"/>
        <w:adjustRightInd w:val="0"/>
        <w:jc w:val="center"/>
        <w:rPr>
          <w:rFonts w:ascii="方正小标宋简体" w:eastAsia="方正小标宋简体"/>
          <w:sz w:val="32"/>
          <w:szCs w:val="32"/>
        </w:rPr>
      </w:pPr>
      <w:r>
        <w:rPr>
          <w:rFonts w:hint="eastAsia" w:ascii="方正小标宋简体" w:eastAsia="方正小标宋简体"/>
          <w:sz w:val="32"/>
          <w:szCs w:val="32"/>
        </w:rPr>
        <w:t>认证认可</w:t>
      </w:r>
      <w:r>
        <w:rPr>
          <w:rFonts w:ascii="方正小标宋简体" w:eastAsia="方正小标宋简体"/>
          <w:sz w:val="32"/>
          <w:szCs w:val="32"/>
        </w:rPr>
        <w:t>行业标准草案编制说明</w:t>
      </w:r>
    </w:p>
    <w:p w14:paraId="7E58660E">
      <w:pPr>
        <w:autoSpaceDE w:val="0"/>
        <w:autoSpaceDN w:val="0"/>
        <w:adjustRightInd w:val="0"/>
        <w:jc w:val="center"/>
        <w:rPr>
          <w:rFonts w:ascii="方正仿宋简体" w:eastAsia="方正仿宋简体"/>
          <w:color w:val="000000"/>
          <w:sz w:val="24"/>
          <w:szCs w:val="24"/>
        </w:rPr>
      </w:pPr>
      <w:r>
        <w:rPr>
          <w:rFonts w:hint="eastAsia" w:ascii="方正仿宋简体" w:eastAsia="方正仿宋简体"/>
          <w:color w:val="000000"/>
          <w:sz w:val="24"/>
          <w:szCs w:val="24"/>
        </w:rPr>
        <w:t>（参考格式）</w:t>
      </w:r>
    </w:p>
    <w:tbl>
      <w:tblPr>
        <w:tblStyle w:val="38"/>
        <w:tblpPr w:leftFromText="180" w:rightFromText="180" w:vertAnchor="text" w:horzAnchor="margin" w:tblpXSpec="center" w:tblpY="169"/>
        <w:tblW w:w="9384" w:type="dxa"/>
        <w:tblInd w:w="0" w:type="dxa"/>
        <w:tblBorders>
          <w:top w:val="single" w:color="auto" w:sz="6" w:space="0"/>
          <w:left w:val="single" w:color="auto" w:sz="6" w:space="0"/>
          <w:bottom w:val="single" w:color="auto" w:sz="6" w:space="0"/>
          <w:right w:val="single" w:color="auto" w:sz="6" w:space="0"/>
          <w:insideH w:val="single" w:color="auto" w:sz="6" w:space="0"/>
          <w:insideV w:val="single" w:color="auto" w:sz="6" w:space="0"/>
        </w:tblBorders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1794"/>
        <w:gridCol w:w="1384"/>
        <w:gridCol w:w="1155"/>
        <w:gridCol w:w="1635"/>
        <w:gridCol w:w="1260"/>
        <w:gridCol w:w="2156"/>
      </w:tblGrid>
      <w:tr w14:paraId="43A39A3A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cantSplit/>
          <w:trHeight w:val="168" w:hRule="atLeast"/>
        </w:trPr>
        <w:tc>
          <w:tcPr>
            <w:tcW w:w="9384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CAA6A08">
            <w:pPr>
              <w:rPr>
                <w:rFonts w:ascii="宋体" w:hAnsi="宋体"/>
                <w:b/>
                <w:color w:val="000000"/>
                <w:szCs w:val="21"/>
              </w:rPr>
            </w:pPr>
            <w:r>
              <w:rPr>
                <w:rFonts w:hint="eastAsia" w:ascii="宋体" w:hAnsi="宋体"/>
                <w:b/>
                <w:color w:val="000000"/>
                <w:szCs w:val="21"/>
              </w:rPr>
              <w:t>1、基本信息</w:t>
            </w:r>
          </w:p>
        </w:tc>
      </w:tr>
      <w:tr w14:paraId="6CAC9AF0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cantSplit/>
          <w:trHeight w:val="568" w:hRule="atLeast"/>
        </w:trPr>
        <w:tc>
          <w:tcPr>
            <w:tcW w:w="1794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92D48E6">
            <w:pPr>
              <w:ind w:left="141" w:leftChars="67" w:right="176" w:rightChars="84"/>
              <w:rPr>
                <w:rFonts w:ascii="宋体" w:hAnsi="宋体"/>
                <w:color w:val="000000"/>
                <w:szCs w:val="21"/>
              </w:rPr>
            </w:pPr>
            <w:r>
              <w:rPr>
                <w:rFonts w:ascii="宋体" w:hAnsi="宋体"/>
                <w:color w:val="000000"/>
                <w:szCs w:val="21"/>
              </w:rPr>
              <w:t>1.1 标准草案名称</w:t>
            </w:r>
          </w:p>
        </w:tc>
        <w:tc>
          <w:tcPr>
            <w:tcW w:w="13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5F3F6BB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ascii="宋体" w:hAnsi="宋体"/>
                <w:color w:val="000000"/>
                <w:szCs w:val="21"/>
              </w:rPr>
              <w:t>中文</w:t>
            </w:r>
          </w:p>
        </w:tc>
        <w:tc>
          <w:tcPr>
            <w:tcW w:w="6206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4DCE5E3">
            <w:pPr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食品实验室数字化管理指南</w:t>
            </w:r>
          </w:p>
        </w:tc>
      </w:tr>
      <w:tr w14:paraId="6FE97BDE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cantSplit/>
          <w:trHeight w:val="548" w:hRule="atLeast"/>
        </w:trPr>
        <w:tc>
          <w:tcPr>
            <w:tcW w:w="1794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95D3109">
            <w:pPr>
              <w:ind w:left="141" w:leftChars="67" w:right="176" w:rightChars="84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1384" w:type="dxa"/>
            <w:tcBorders>
              <w:top w:val="single" w:color="auto" w:sz="4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vAlign w:val="center"/>
          </w:tcPr>
          <w:p w14:paraId="48B06CE9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ascii="宋体" w:hAnsi="宋体"/>
                <w:color w:val="000000"/>
                <w:szCs w:val="21"/>
              </w:rPr>
              <w:t>英文</w:t>
            </w:r>
          </w:p>
        </w:tc>
        <w:tc>
          <w:tcPr>
            <w:tcW w:w="6206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vAlign w:val="center"/>
          </w:tcPr>
          <w:p w14:paraId="6837BF1D">
            <w:pPr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Management guidelines for food laboratory digitization</w:t>
            </w:r>
          </w:p>
        </w:tc>
      </w:tr>
      <w:tr w14:paraId="709A444A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cantSplit/>
          <w:trHeight w:val="603" w:hRule="atLeast"/>
        </w:trPr>
        <w:tc>
          <w:tcPr>
            <w:tcW w:w="1794" w:type="dxa"/>
            <w:vMerge w:val="restart"/>
            <w:tcBorders>
              <w:right w:val="single" w:color="auto" w:sz="4" w:space="0"/>
            </w:tcBorders>
            <w:vAlign w:val="center"/>
          </w:tcPr>
          <w:p w14:paraId="2EAF2F3E">
            <w:pPr>
              <w:ind w:left="141" w:leftChars="67" w:right="176" w:rightChars="84"/>
              <w:rPr>
                <w:rFonts w:ascii="宋体" w:hAnsi="宋体"/>
                <w:color w:val="000000"/>
                <w:szCs w:val="21"/>
              </w:rPr>
            </w:pPr>
            <w:r>
              <w:rPr>
                <w:rFonts w:ascii="宋体" w:hAnsi="宋体"/>
                <w:color w:val="000000"/>
                <w:szCs w:val="21"/>
              </w:rPr>
              <w:t>1.2 与国际标准和国外先进标准一致</w:t>
            </w:r>
            <w:r>
              <w:rPr>
                <w:rFonts w:hint="eastAsia" w:ascii="宋体" w:hAnsi="宋体"/>
                <w:color w:val="000000"/>
                <w:szCs w:val="21"/>
              </w:rPr>
              <w:t>性</w:t>
            </w:r>
            <w:r>
              <w:rPr>
                <w:rFonts w:ascii="宋体" w:hAnsi="宋体"/>
                <w:color w:val="000000"/>
                <w:szCs w:val="21"/>
              </w:rPr>
              <w:t>程度情况</w:t>
            </w:r>
          </w:p>
        </w:tc>
        <w:tc>
          <w:tcPr>
            <w:tcW w:w="1384" w:type="dxa"/>
            <w:vMerge w:val="restart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47EB4F2B">
            <w:pPr>
              <w:rPr>
                <w:rFonts w:ascii="宋体" w:hAnsi="宋体"/>
                <w:color w:val="000000"/>
                <w:szCs w:val="21"/>
              </w:rPr>
            </w:pPr>
            <w:r>
              <w:rPr>
                <w:rFonts w:ascii="宋体" w:hAnsi="宋体"/>
                <w:color w:val="000000"/>
                <w:szCs w:val="21"/>
              </w:rPr>
              <w:t>□等同</w:t>
            </w:r>
            <w:r>
              <w:rPr>
                <w:rFonts w:hint="eastAsia" w:ascii="宋体" w:hAnsi="宋体"/>
                <w:color w:val="000000"/>
                <w:szCs w:val="21"/>
              </w:rPr>
              <w:t>采用</w:t>
            </w:r>
          </w:p>
          <w:p w14:paraId="23A068BB">
            <w:pPr>
              <w:rPr>
                <w:rFonts w:ascii="宋体" w:hAnsi="宋体"/>
                <w:color w:val="000000"/>
                <w:szCs w:val="21"/>
              </w:rPr>
            </w:pPr>
            <w:r>
              <w:rPr>
                <w:rFonts w:ascii="宋体" w:hAnsi="宋体"/>
                <w:color w:val="000000"/>
                <w:szCs w:val="21"/>
              </w:rPr>
              <w:t>□修改</w:t>
            </w:r>
            <w:r>
              <w:rPr>
                <w:rFonts w:hint="eastAsia" w:ascii="宋体" w:hAnsi="宋体"/>
                <w:color w:val="000000"/>
                <w:szCs w:val="21"/>
              </w:rPr>
              <w:t>采用</w:t>
            </w:r>
          </w:p>
          <w:p w14:paraId="5E54EE03">
            <w:pPr>
              <w:rPr>
                <w:rFonts w:ascii="宋体" w:hAnsi="宋体"/>
                <w:color w:val="000000"/>
                <w:szCs w:val="21"/>
              </w:rPr>
            </w:pPr>
            <w:r>
              <w:rPr>
                <w:rFonts w:ascii="宋体" w:hAnsi="宋体"/>
                <w:color w:val="000000"/>
                <w:szCs w:val="21"/>
              </w:rPr>
              <w:t>□非等效</w:t>
            </w:r>
            <w:r>
              <w:rPr>
                <w:rFonts w:hint="eastAsia" w:ascii="宋体" w:hAnsi="宋体"/>
                <w:color w:val="000000"/>
                <w:szCs w:val="21"/>
              </w:rPr>
              <w:t>采用</w:t>
            </w:r>
          </w:p>
          <w:p w14:paraId="05923969">
            <w:pPr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  <w:lang w:eastAsia="zh-CN"/>
              </w:rPr>
              <w:t>☑</w:t>
            </w:r>
            <w:r>
              <w:rPr>
                <w:rFonts w:hint="eastAsia" w:ascii="宋体" w:hAnsi="宋体"/>
                <w:color w:val="000000"/>
                <w:szCs w:val="21"/>
              </w:rPr>
              <w:t>未采用</w:t>
            </w:r>
          </w:p>
        </w:tc>
        <w:tc>
          <w:tcPr>
            <w:tcW w:w="1155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CB1D84F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ascii="宋体" w:hAnsi="宋体"/>
                <w:color w:val="000000"/>
                <w:szCs w:val="21"/>
              </w:rPr>
              <w:t>标准</w:t>
            </w:r>
            <w:r>
              <w:rPr>
                <w:rFonts w:hint="eastAsia" w:ascii="宋体" w:hAnsi="宋体"/>
                <w:color w:val="000000"/>
                <w:szCs w:val="21"/>
              </w:rPr>
              <w:t>编</w:t>
            </w:r>
            <w:r>
              <w:rPr>
                <w:rFonts w:ascii="宋体" w:hAnsi="宋体"/>
                <w:color w:val="000000"/>
                <w:szCs w:val="21"/>
              </w:rPr>
              <w:t>号</w:t>
            </w:r>
          </w:p>
        </w:tc>
        <w:tc>
          <w:tcPr>
            <w:tcW w:w="5051" w:type="dxa"/>
            <w:gridSpan w:val="3"/>
            <w:tcBorders>
              <w:left w:val="single" w:color="auto" w:sz="4" w:space="0"/>
              <w:bottom w:val="single" w:color="auto" w:sz="4" w:space="0"/>
            </w:tcBorders>
            <w:vAlign w:val="center"/>
          </w:tcPr>
          <w:p w14:paraId="79A91D05">
            <w:pPr>
              <w:rPr>
                <w:rFonts w:hint="eastAsia" w:ascii="宋体" w:hAnsi="宋体" w:eastAsia="宋体"/>
                <w:color w:val="000000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color w:val="000000"/>
                <w:szCs w:val="21"/>
                <w:lang w:val="en-US" w:eastAsia="zh-CN"/>
              </w:rPr>
              <w:t>无</w:t>
            </w:r>
          </w:p>
        </w:tc>
      </w:tr>
      <w:tr w14:paraId="20AE8A70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cantSplit/>
          <w:trHeight w:val="659" w:hRule="atLeast"/>
        </w:trPr>
        <w:tc>
          <w:tcPr>
            <w:tcW w:w="1794" w:type="dxa"/>
            <w:vMerge w:val="continue"/>
            <w:tcBorders>
              <w:right w:val="single" w:color="auto" w:sz="4" w:space="0"/>
            </w:tcBorders>
            <w:vAlign w:val="center"/>
          </w:tcPr>
          <w:p w14:paraId="72283A6B">
            <w:pPr>
              <w:ind w:left="141" w:leftChars="67" w:right="176" w:rightChars="84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1384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1F7223F2">
            <w:pPr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11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FAB89DC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ascii="宋体" w:hAnsi="宋体"/>
                <w:color w:val="000000"/>
                <w:szCs w:val="21"/>
              </w:rPr>
              <w:t>英文名称</w:t>
            </w:r>
          </w:p>
        </w:tc>
        <w:tc>
          <w:tcPr>
            <w:tcW w:w="5051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vAlign w:val="center"/>
          </w:tcPr>
          <w:p w14:paraId="627DA513">
            <w:pPr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  <w:lang w:val="en-US" w:eastAsia="zh-CN"/>
              </w:rPr>
              <w:t>无</w:t>
            </w:r>
          </w:p>
        </w:tc>
      </w:tr>
      <w:tr w14:paraId="213BD8F1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cantSplit/>
          <w:trHeight w:val="604" w:hRule="atLeast"/>
        </w:trPr>
        <w:tc>
          <w:tcPr>
            <w:tcW w:w="1794" w:type="dxa"/>
            <w:vMerge w:val="continue"/>
            <w:tcBorders>
              <w:right w:val="single" w:color="auto" w:sz="4" w:space="0"/>
            </w:tcBorders>
            <w:vAlign w:val="center"/>
          </w:tcPr>
          <w:p w14:paraId="0BF724A9">
            <w:pPr>
              <w:ind w:left="141" w:leftChars="67" w:right="176" w:rightChars="84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1384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8EF37C1">
            <w:pPr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11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5040641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ascii="宋体" w:hAnsi="宋体"/>
                <w:color w:val="000000"/>
                <w:szCs w:val="21"/>
              </w:rPr>
              <w:t>中文名称</w:t>
            </w:r>
          </w:p>
        </w:tc>
        <w:tc>
          <w:tcPr>
            <w:tcW w:w="5051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vAlign w:val="center"/>
          </w:tcPr>
          <w:p w14:paraId="74128CE2">
            <w:pPr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  <w:lang w:val="en-US" w:eastAsia="zh-CN"/>
              </w:rPr>
              <w:t>无</w:t>
            </w:r>
          </w:p>
        </w:tc>
      </w:tr>
      <w:tr w14:paraId="6D3DAC46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cantSplit/>
          <w:trHeight w:val="510" w:hRule="atLeast"/>
        </w:trPr>
        <w:tc>
          <w:tcPr>
            <w:tcW w:w="1794" w:type="dxa"/>
            <w:tcBorders>
              <w:right w:val="single" w:color="auto" w:sz="4" w:space="0"/>
            </w:tcBorders>
            <w:vAlign w:val="center"/>
          </w:tcPr>
          <w:p w14:paraId="7E40EB0D">
            <w:pPr>
              <w:ind w:left="141" w:leftChars="67" w:right="176" w:rightChars="84"/>
              <w:rPr>
                <w:rFonts w:ascii="宋体" w:hAnsi="宋体"/>
                <w:color w:val="000000"/>
                <w:szCs w:val="21"/>
              </w:rPr>
            </w:pPr>
            <w:r>
              <w:rPr>
                <w:rFonts w:ascii="宋体" w:hAnsi="宋体"/>
                <w:color w:val="000000"/>
                <w:szCs w:val="21"/>
              </w:rPr>
              <w:t>1.3 任务来源</w:t>
            </w:r>
          </w:p>
        </w:tc>
        <w:tc>
          <w:tcPr>
            <w:tcW w:w="1384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442F1C6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ascii="宋体" w:hAnsi="宋体"/>
                <w:color w:val="000000"/>
                <w:szCs w:val="21"/>
              </w:rPr>
              <w:t>批准立项的文件名称和文件号</w:t>
            </w:r>
          </w:p>
        </w:tc>
        <w:tc>
          <w:tcPr>
            <w:tcW w:w="2790" w:type="dxa"/>
            <w:gridSpan w:val="2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75E7ED5">
            <w:pPr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国认监〔2024〕5号</w:t>
            </w:r>
            <w:r>
              <w:rPr>
                <w:rFonts w:hint="eastAsia" w:ascii="宋体" w:hAnsi="宋体"/>
                <w:color w:val="000000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宋体" w:hAnsi="宋体"/>
                <w:color w:val="000000"/>
                <w:szCs w:val="21"/>
              </w:rPr>
              <w:t>国家认监委关于下达《检验检测机构数字化建设指南》等25项认证认可行业标准制修订计划项目的通知</w:t>
            </w:r>
          </w:p>
        </w:tc>
        <w:tc>
          <w:tcPr>
            <w:tcW w:w="1260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6DA5C03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ascii="宋体" w:hAnsi="宋体"/>
                <w:color w:val="000000"/>
                <w:szCs w:val="21"/>
              </w:rPr>
              <w:t>计划编号</w:t>
            </w:r>
          </w:p>
        </w:tc>
        <w:tc>
          <w:tcPr>
            <w:tcW w:w="2156" w:type="dxa"/>
            <w:tcBorders>
              <w:left w:val="single" w:color="auto" w:sz="4" w:space="0"/>
              <w:bottom w:val="single" w:color="auto" w:sz="4" w:space="0"/>
            </w:tcBorders>
            <w:vAlign w:val="center"/>
          </w:tcPr>
          <w:p w14:paraId="06183086">
            <w:pPr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2023RB019</w:t>
            </w:r>
          </w:p>
        </w:tc>
      </w:tr>
      <w:tr w14:paraId="4E112AC7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cantSplit/>
          <w:trHeight w:val="1029" w:hRule="atLeast"/>
        </w:trPr>
        <w:tc>
          <w:tcPr>
            <w:tcW w:w="1794" w:type="dxa"/>
            <w:vAlign w:val="center"/>
          </w:tcPr>
          <w:p w14:paraId="330BEBEA">
            <w:pPr>
              <w:spacing w:line="360" w:lineRule="exact"/>
              <w:ind w:left="141" w:leftChars="67" w:right="176" w:rightChars="84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1.4制（修）订</w:t>
            </w:r>
          </w:p>
        </w:tc>
        <w:tc>
          <w:tcPr>
            <w:tcW w:w="7590" w:type="dxa"/>
            <w:gridSpan w:val="5"/>
            <w:vAlign w:val="center"/>
          </w:tcPr>
          <w:p w14:paraId="58F99874">
            <w:pPr>
              <w:jc w:val="left"/>
              <w:rPr>
                <w:rFonts w:ascii="宋体" w:hAnsi="宋体"/>
                <w:snapToGrid w:val="0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/>
                <w:snapToGrid w:val="0"/>
                <w:color w:val="000000"/>
                <w:kern w:val="0"/>
                <w:szCs w:val="21"/>
                <w:lang w:eastAsia="zh-CN"/>
              </w:rPr>
              <w:t>☑</w:t>
            </w:r>
            <w:r>
              <w:rPr>
                <w:rFonts w:hint="eastAsia" w:ascii="宋体" w:hAnsi="宋体"/>
                <w:snapToGrid w:val="0"/>
                <w:color w:val="000000"/>
                <w:kern w:val="0"/>
                <w:szCs w:val="21"/>
              </w:rPr>
              <w:t>制定     □修订</w:t>
            </w:r>
            <w:r>
              <w:rPr>
                <w:rFonts w:hint="eastAsia" w:ascii="宋体" w:hAnsi="宋体"/>
                <w:szCs w:val="21"/>
              </w:rPr>
              <w:t>（被修订标准名称及编号：                      ）</w:t>
            </w:r>
          </w:p>
        </w:tc>
      </w:tr>
      <w:tr w14:paraId="63C18218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cantSplit/>
          <w:trHeight w:val="745" w:hRule="atLeast"/>
        </w:trPr>
        <w:tc>
          <w:tcPr>
            <w:tcW w:w="1794" w:type="dxa"/>
            <w:vAlign w:val="center"/>
          </w:tcPr>
          <w:p w14:paraId="09217D6F">
            <w:pPr>
              <w:ind w:left="141" w:leftChars="67" w:right="176" w:rightChars="84"/>
              <w:rPr>
                <w:rFonts w:ascii="宋体" w:hAnsi="宋体"/>
                <w:color w:val="000000"/>
                <w:szCs w:val="21"/>
              </w:rPr>
            </w:pPr>
            <w:r>
              <w:rPr>
                <w:rFonts w:ascii="宋体" w:hAnsi="宋体"/>
                <w:color w:val="000000"/>
                <w:szCs w:val="21"/>
              </w:rPr>
              <w:t>1.5 起止时间</w:t>
            </w:r>
          </w:p>
        </w:tc>
        <w:tc>
          <w:tcPr>
            <w:tcW w:w="7590" w:type="dxa"/>
            <w:gridSpan w:val="5"/>
            <w:vAlign w:val="center"/>
          </w:tcPr>
          <w:p w14:paraId="20463AC3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  <w:lang w:val="en-US" w:eastAsia="zh-CN"/>
              </w:rPr>
              <w:t>2024</w:t>
            </w:r>
            <w:r>
              <w:rPr>
                <w:rFonts w:ascii="宋体" w:hAnsi="宋体"/>
                <w:color w:val="000000"/>
                <w:szCs w:val="21"/>
              </w:rPr>
              <w:t>年</w:t>
            </w:r>
            <w:r>
              <w:rPr>
                <w:rFonts w:hint="eastAsia" w:ascii="宋体" w:hAnsi="宋体"/>
                <w:color w:val="000000"/>
                <w:szCs w:val="21"/>
                <w:lang w:val="en-US" w:eastAsia="zh-CN"/>
              </w:rPr>
              <w:t>6</w:t>
            </w:r>
            <w:r>
              <w:rPr>
                <w:rFonts w:ascii="宋体" w:hAnsi="宋体"/>
                <w:color w:val="000000"/>
                <w:szCs w:val="21"/>
              </w:rPr>
              <w:t>月---</w:t>
            </w:r>
            <w:r>
              <w:rPr>
                <w:rFonts w:hint="eastAsia" w:ascii="宋体" w:hAnsi="宋体"/>
                <w:color w:val="000000"/>
                <w:szCs w:val="21"/>
                <w:lang w:val="en-US" w:eastAsia="zh-CN"/>
              </w:rPr>
              <w:t>2025</w:t>
            </w:r>
            <w:r>
              <w:rPr>
                <w:rFonts w:ascii="宋体" w:hAnsi="宋体"/>
                <w:color w:val="000000"/>
                <w:szCs w:val="21"/>
              </w:rPr>
              <w:t>年</w:t>
            </w:r>
            <w:r>
              <w:rPr>
                <w:rFonts w:hint="eastAsia" w:ascii="宋体" w:hAnsi="宋体"/>
                <w:color w:val="000000"/>
                <w:szCs w:val="21"/>
                <w:lang w:val="en-US" w:eastAsia="zh-CN"/>
              </w:rPr>
              <w:t>12</w:t>
            </w:r>
            <w:r>
              <w:rPr>
                <w:rFonts w:ascii="宋体" w:hAnsi="宋体"/>
                <w:color w:val="000000"/>
                <w:szCs w:val="21"/>
              </w:rPr>
              <w:t>月</w:t>
            </w:r>
          </w:p>
        </w:tc>
      </w:tr>
      <w:tr w14:paraId="33C34E37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cantSplit/>
          <w:trHeight w:val="686" w:hRule="atLeast"/>
        </w:trPr>
        <w:tc>
          <w:tcPr>
            <w:tcW w:w="1794" w:type="dxa"/>
            <w:vAlign w:val="center"/>
          </w:tcPr>
          <w:p w14:paraId="2D60F067">
            <w:pPr>
              <w:ind w:left="141" w:leftChars="67" w:right="176" w:rightChars="84"/>
              <w:rPr>
                <w:rFonts w:ascii="宋体" w:hAnsi="宋体"/>
                <w:color w:val="000000"/>
                <w:szCs w:val="21"/>
              </w:rPr>
            </w:pPr>
            <w:r>
              <w:rPr>
                <w:rFonts w:ascii="宋体" w:hAnsi="宋体"/>
                <w:color w:val="000000"/>
                <w:szCs w:val="21"/>
              </w:rPr>
              <w:t xml:space="preserve">1.6 </w:t>
            </w:r>
            <w:r>
              <w:rPr>
                <w:rFonts w:hint="eastAsia" w:ascii="宋体" w:hAnsi="宋体"/>
                <w:color w:val="000000"/>
                <w:szCs w:val="21"/>
              </w:rPr>
              <w:t>标准起草</w:t>
            </w:r>
            <w:r>
              <w:rPr>
                <w:rFonts w:ascii="宋体" w:hAnsi="宋体"/>
                <w:color w:val="000000"/>
                <w:szCs w:val="21"/>
              </w:rPr>
              <w:t>单位</w:t>
            </w:r>
          </w:p>
        </w:tc>
        <w:tc>
          <w:tcPr>
            <w:tcW w:w="7590" w:type="dxa"/>
            <w:gridSpan w:val="5"/>
            <w:vAlign w:val="center"/>
          </w:tcPr>
          <w:p w14:paraId="04F09DA0">
            <w:pPr>
              <w:rPr>
                <w:rFonts w:hint="default" w:ascii="宋体" w:hAnsi="宋体" w:eastAsia="宋体"/>
                <w:color w:val="000000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贵州省分析测试研究院</w:t>
            </w:r>
            <w:r>
              <w:rPr>
                <w:rFonts w:hint="eastAsia" w:ascii="宋体" w:hAnsi="宋体"/>
                <w:color w:val="000000"/>
                <w:szCs w:val="21"/>
                <w:lang w:eastAsia="zh-CN"/>
              </w:rPr>
              <w:t>、</w:t>
            </w:r>
            <w:r>
              <w:rPr>
                <w:rFonts w:hint="eastAsia" w:ascii="宋体" w:hAnsi="宋体"/>
                <w:color w:val="000000"/>
                <w:szCs w:val="21"/>
              </w:rPr>
              <w:t>北京市科学技术研究院分析测试研究所（北京市理化分析测试中心）</w:t>
            </w:r>
            <w:r>
              <w:rPr>
                <w:rFonts w:hint="eastAsia" w:ascii="宋体" w:hAnsi="宋体"/>
                <w:color w:val="000000"/>
                <w:szCs w:val="21"/>
                <w:lang w:eastAsia="zh-CN"/>
              </w:rPr>
              <w:t>、</w:t>
            </w:r>
            <w:r>
              <w:rPr>
                <w:rFonts w:hint="eastAsia" w:ascii="宋体" w:hAnsi="宋体"/>
                <w:color w:val="000000"/>
                <w:szCs w:val="21"/>
              </w:rPr>
              <w:t>北京信睿浩扬科技有限公司</w:t>
            </w:r>
            <w:r>
              <w:rPr>
                <w:rFonts w:hint="eastAsia" w:ascii="宋体" w:hAnsi="宋体"/>
                <w:color w:val="000000"/>
                <w:szCs w:val="21"/>
                <w:lang w:eastAsia="zh-CN"/>
              </w:rPr>
              <w:t>、</w:t>
            </w:r>
            <w:r>
              <w:rPr>
                <w:rFonts w:hint="eastAsia" w:ascii="宋体" w:hAnsi="宋体"/>
                <w:color w:val="000000"/>
                <w:szCs w:val="21"/>
              </w:rPr>
              <w:t>舟山市食品药品检验检测研究院</w:t>
            </w:r>
            <w:r>
              <w:rPr>
                <w:rFonts w:hint="eastAsia" w:ascii="宋体" w:hAnsi="宋体"/>
                <w:color w:val="000000"/>
                <w:szCs w:val="21"/>
                <w:lang w:eastAsia="zh-CN"/>
              </w:rPr>
              <w:t>、</w:t>
            </w:r>
            <w:r>
              <w:rPr>
                <w:rFonts w:hint="eastAsia" w:ascii="宋体" w:hAnsi="宋体"/>
                <w:color w:val="000000"/>
                <w:szCs w:val="21"/>
              </w:rPr>
              <w:t>河南省药品医疗器械检验院</w:t>
            </w:r>
            <w:bookmarkStart w:id="0" w:name="_GoBack"/>
            <w:bookmarkEnd w:id="0"/>
            <w:r>
              <w:rPr>
                <w:rFonts w:hint="eastAsia" w:ascii="宋体" w:hAnsi="宋体"/>
                <w:color w:val="000000"/>
                <w:szCs w:val="21"/>
              </w:rPr>
              <w:t>（河南省疫苗批签中心）</w:t>
            </w:r>
            <w:r>
              <w:rPr>
                <w:rFonts w:hint="eastAsia" w:ascii="宋体" w:hAnsi="宋体"/>
                <w:color w:val="000000"/>
                <w:szCs w:val="21"/>
                <w:lang w:eastAsia="zh-CN"/>
              </w:rPr>
              <w:t>、</w:t>
            </w:r>
            <w:r>
              <w:rPr>
                <w:rFonts w:hint="eastAsia" w:ascii="宋体" w:hAnsi="宋体"/>
                <w:color w:val="000000"/>
                <w:szCs w:val="21"/>
              </w:rPr>
              <w:t>长兴县食品药品检验检测中心</w:t>
            </w:r>
            <w:r>
              <w:rPr>
                <w:rFonts w:hint="eastAsia" w:ascii="宋体" w:hAnsi="宋体"/>
                <w:color w:val="000000"/>
                <w:szCs w:val="21"/>
                <w:lang w:eastAsia="zh-CN"/>
              </w:rPr>
              <w:t>、</w:t>
            </w:r>
            <w:r>
              <w:rPr>
                <w:rFonts w:hint="eastAsia" w:ascii="宋体" w:hAnsi="宋体"/>
                <w:color w:val="000000"/>
                <w:szCs w:val="21"/>
              </w:rPr>
              <w:t>中国贵州茅台酒厂(集团)有限责任公司</w:t>
            </w:r>
            <w:r>
              <w:rPr>
                <w:rFonts w:hint="eastAsia" w:ascii="宋体" w:hAnsi="宋体"/>
                <w:color w:val="000000"/>
                <w:szCs w:val="21"/>
                <w:lang w:eastAsia="zh-CN"/>
              </w:rPr>
              <w:t>、</w:t>
            </w:r>
            <w:r>
              <w:rPr>
                <w:rFonts w:hint="eastAsia" w:ascii="宋体" w:hAnsi="宋体"/>
                <w:color w:val="000000"/>
                <w:szCs w:val="21"/>
              </w:rPr>
              <w:t>华润雪花啤酒（中国）有限公司</w:t>
            </w:r>
            <w:r>
              <w:rPr>
                <w:rFonts w:hint="eastAsia" w:ascii="宋体" w:hAnsi="宋体"/>
                <w:color w:val="000000"/>
                <w:szCs w:val="21"/>
                <w:lang w:eastAsia="zh-CN"/>
              </w:rPr>
              <w:t>、</w:t>
            </w:r>
            <w:r>
              <w:rPr>
                <w:rFonts w:hint="eastAsia" w:ascii="宋体" w:hAnsi="宋体"/>
                <w:color w:val="000000"/>
                <w:szCs w:val="21"/>
              </w:rPr>
              <w:t>吉林省产品质量监督检验院</w:t>
            </w:r>
            <w:r>
              <w:rPr>
                <w:rFonts w:hint="eastAsia" w:ascii="宋体" w:hAnsi="宋体"/>
                <w:color w:val="000000"/>
                <w:szCs w:val="21"/>
                <w:lang w:eastAsia="zh-CN"/>
              </w:rPr>
              <w:t>、</w:t>
            </w:r>
            <w:r>
              <w:rPr>
                <w:rFonts w:hint="eastAsia" w:ascii="宋体" w:hAnsi="宋体"/>
                <w:color w:val="000000"/>
                <w:szCs w:val="21"/>
              </w:rPr>
              <w:t>深圳海关食品检验检疫技术中心</w:t>
            </w:r>
            <w:r>
              <w:rPr>
                <w:rFonts w:hint="eastAsia" w:ascii="宋体" w:hAnsi="宋体"/>
                <w:color w:val="000000"/>
                <w:szCs w:val="21"/>
                <w:lang w:eastAsia="zh-CN"/>
              </w:rPr>
              <w:t>、</w:t>
            </w:r>
            <w:r>
              <w:rPr>
                <w:rFonts w:hint="eastAsia" w:ascii="宋体" w:hAnsi="宋体"/>
                <w:color w:val="000000"/>
                <w:szCs w:val="21"/>
              </w:rPr>
              <w:t>三全食品股份有限公司</w:t>
            </w:r>
            <w:r>
              <w:rPr>
                <w:rFonts w:hint="eastAsia" w:ascii="宋体" w:hAnsi="宋体"/>
                <w:color w:val="000000"/>
                <w:szCs w:val="21"/>
                <w:lang w:eastAsia="zh-CN"/>
              </w:rPr>
              <w:t>、</w:t>
            </w:r>
            <w:r>
              <w:rPr>
                <w:rFonts w:hint="eastAsia" w:ascii="宋体" w:hAnsi="宋体"/>
                <w:color w:val="000000"/>
                <w:szCs w:val="21"/>
              </w:rPr>
              <w:t>上海源本食品质量检验有限公司</w:t>
            </w:r>
            <w:r>
              <w:rPr>
                <w:rFonts w:hint="eastAsia" w:ascii="宋体" w:hAnsi="宋体"/>
                <w:color w:val="000000"/>
                <w:szCs w:val="21"/>
                <w:lang w:eastAsia="zh-CN"/>
              </w:rPr>
              <w:t>、贵州省检测技术研究应用中心</w:t>
            </w:r>
          </w:p>
        </w:tc>
      </w:tr>
      <w:tr w14:paraId="752DB6A1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cantSplit/>
          <w:trHeight w:val="837" w:hRule="atLeast"/>
        </w:trPr>
        <w:tc>
          <w:tcPr>
            <w:tcW w:w="1794" w:type="dxa"/>
            <w:vAlign w:val="center"/>
          </w:tcPr>
          <w:p w14:paraId="49099E14">
            <w:pPr>
              <w:ind w:left="141" w:leftChars="67" w:right="176" w:rightChars="84"/>
              <w:rPr>
                <w:rFonts w:ascii="宋体" w:hAnsi="宋体"/>
                <w:color w:val="000000"/>
                <w:szCs w:val="21"/>
              </w:rPr>
            </w:pPr>
            <w:r>
              <w:rPr>
                <w:rFonts w:ascii="宋体" w:hAnsi="宋体"/>
                <w:color w:val="000000"/>
                <w:szCs w:val="21"/>
              </w:rPr>
              <w:t>1.7 起草</w:t>
            </w:r>
            <w:r>
              <w:rPr>
                <w:rFonts w:hint="eastAsia" w:ascii="宋体" w:hAnsi="宋体"/>
                <w:color w:val="000000"/>
                <w:szCs w:val="21"/>
              </w:rPr>
              <w:t>组成员</w:t>
            </w:r>
          </w:p>
        </w:tc>
        <w:tc>
          <w:tcPr>
            <w:tcW w:w="7590" w:type="dxa"/>
            <w:gridSpan w:val="5"/>
            <w:vAlign w:val="center"/>
          </w:tcPr>
          <w:p w14:paraId="3259EF3F">
            <w:pPr>
              <w:rPr>
                <w:rFonts w:hint="default" w:ascii="宋体" w:hAnsi="宋体"/>
                <w:color w:val="000000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张秀宇</w:t>
            </w:r>
            <w:r>
              <w:rPr>
                <w:rFonts w:hint="eastAsia" w:ascii="宋体" w:hAnsi="宋体"/>
                <w:color w:val="000000"/>
                <w:szCs w:val="21"/>
                <w:lang w:eastAsia="zh-CN"/>
              </w:rPr>
              <w:t>、</w:t>
            </w:r>
            <w:r>
              <w:rPr>
                <w:rFonts w:hint="eastAsia" w:ascii="宋体" w:hAnsi="宋体"/>
                <w:color w:val="000000"/>
                <w:szCs w:val="21"/>
              </w:rPr>
              <w:t>陈婷</w:t>
            </w:r>
            <w:r>
              <w:rPr>
                <w:rFonts w:hint="eastAsia" w:ascii="宋体" w:hAnsi="宋体"/>
                <w:color w:val="000000"/>
                <w:szCs w:val="21"/>
                <w:lang w:eastAsia="zh-CN"/>
              </w:rPr>
              <w:t>、</w:t>
            </w:r>
            <w:r>
              <w:rPr>
                <w:rFonts w:hint="eastAsia" w:ascii="宋体" w:hAnsi="宋体"/>
                <w:color w:val="000000"/>
                <w:szCs w:val="21"/>
              </w:rPr>
              <w:t>熊贝贝</w:t>
            </w:r>
            <w:r>
              <w:rPr>
                <w:rFonts w:hint="eastAsia" w:ascii="宋体" w:hAnsi="宋体"/>
                <w:color w:val="000000"/>
                <w:szCs w:val="21"/>
                <w:lang w:eastAsia="zh-CN"/>
              </w:rPr>
              <w:t>、</w:t>
            </w:r>
            <w:r>
              <w:rPr>
                <w:rFonts w:hint="eastAsia" w:ascii="宋体" w:hAnsi="宋体"/>
                <w:color w:val="000000"/>
                <w:szCs w:val="21"/>
              </w:rPr>
              <w:t>陈翔</w:t>
            </w:r>
            <w:r>
              <w:rPr>
                <w:rFonts w:hint="eastAsia" w:ascii="宋体" w:hAnsi="宋体"/>
                <w:color w:val="000000"/>
                <w:szCs w:val="21"/>
                <w:lang w:eastAsia="zh-CN"/>
              </w:rPr>
              <w:t>、</w:t>
            </w:r>
            <w:r>
              <w:rPr>
                <w:rFonts w:hint="eastAsia" w:ascii="宋体" w:hAnsi="宋体"/>
                <w:color w:val="000000"/>
                <w:szCs w:val="21"/>
              </w:rPr>
              <w:t>肖志慧</w:t>
            </w:r>
            <w:r>
              <w:rPr>
                <w:rFonts w:hint="eastAsia" w:ascii="宋体" w:hAnsi="宋体"/>
                <w:color w:val="000000"/>
                <w:szCs w:val="21"/>
                <w:lang w:eastAsia="zh-CN"/>
              </w:rPr>
              <w:t>、</w:t>
            </w:r>
            <w:r>
              <w:rPr>
                <w:rFonts w:hint="eastAsia" w:ascii="宋体" w:hAnsi="宋体"/>
                <w:color w:val="000000"/>
                <w:szCs w:val="21"/>
              </w:rPr>
              <w:t>杨云斌</w:t>
            </w:r>
            <w:r>
              <w:rPr>
                <w:rFonts w:hint="eastAsia" w:ascii="宋体" w:hAnsi="宋体"/>
                <w:color w:val="000000"/>
                <w:szCs w:val="21"/>
                <w:lang w:eastAsia="zh-CN"/>
              </w:rPr>
              <w:t>、</w:t>
            </w:r>
            <w:r>
              <w:rPr>
                <w:rFonts w:hint="eastAsia" w:ascii="宋体" w:hAnsi="宋体"/>
                <w:color w:val="000000"/>
                <w:szCs w:val="21"/>
              </w:rPr>
              <w:t>张旻</w:t>
            </w:r>
            <w:r>
              <w:rPr>
                <w:rFonts w:hint="eastAsia" w:ascii="宋体" w:hAnsi="宋体"/>
                <w:color w:val="000000"/>
                <w:szCs w:val="21"/>
                <w:lang w:eastAsia="zh-CN"/>
              </w:rPr>
              <w:t>、</w:t>
            </w:r>
            <w:r>
              <w:rPr>
                <w:rFonts w:hint="eastAsia" w:ascii="宋体" w:hAnsi="宋体"/>
                <w:color w:val="000000"/>
                <w:szCs w:val="21"/>
              </w:rPr>
              <w:t>涂华彬</w:t>
            </w:r>
            <w:r>
              <w:rPr>
                <w:rFonts w:hint="eastAsia" w:ascii="宋体" w:hAnsi="宋体"/>
                <w:color w:val="000000"/>
                <w:szCs w:val="21"/>
                <w:lang w:eastAsia="zh-CN"/>
              </w:rPr>
              <w:t>、</w:t>
            </w:r>
            <w:r>
              <w:rPr>
                <w:rFonts w:hint="eastAsia" w:ascii="宋体" w:hAnsi="宋体"/>
                <w:color w:val="000000"/>
                <w:szCs w:val="21"/>
              </w:rPr>
              <w:t>白艳龙</w:t>
            </w:r>
            <w:r>
              <w:rPr>
                <w:rFonts w:hint="eastAsia" w:ascii="宋体" w:hAnsi="宋体"/>
                <w:color w:val="000000"/>
                <w:szCs w:val="21"/>
                <w:lang w:eastAsia="zh-CN"/>
              </w:rPr>
              <w:t>、</w:t>
            </w:r>
            <w:r>
              <w:rPr>
                <w:rFonts w:hint="eastAsia" w:ascii="宋体" w:hAnsi="宋体"/>
                <w:color w:val="000000"/>
                <w:szCs w:val="21"/>
              </w:rPr>
              <w:t>周兰影</w:t>
            </w:r>
            <w:r>
              <w:rPr>
                <w:rFonts w:hint="eastAsia" w:ascii="宋体" w:hAnsi="宋体"/>
                <w:color w:val="000000"/>
                <w:szCs w:val="21"/>
                <w:lang w:eastAsia="zh-CN"/>
              </w:rPr>
              <w:t>、</w:t>
            </w:r>
            <w:r>
              <w:rPr>
                <w:rFonts w:hint="eastAsia" w:ascii="宋体" w:hAnsi="宋体"/>
                <w:color w:val="000000"/>
                <w:szCs w:val="21"/>
              </w:rPr>
              <w:t>朱香杰</w:t>
            </w:r>
            <w:r>
              <w:rPr>
                <w:rFonts w:hint="eastAsia" w:ascii="宋体" w:hAnsi="宋体"/>
                <w:color w:val="000000"/>
                <w:szCs w:val="21"/>
                <w:lang w:eastAsia="zh-CN"/>
              </w:rPr>
              <w:t>、</w:t>
            </w:r>
            <w:r>
              <w:rPr>
                <w:rFonts w:hint="eastAsia" w:ascii="宋体" w:hAnsi="宋体"/>
                <w:color w:val="000000"/>
                <w:szCs w:val="21"/>
              </w:rPr>
              <w:t>曹琥靓</w:t>
            </w:r>
            <w:r>
              <w:rPr>
                <w:rFonts w:hint="eastAsia" w:ascii="宋体" w:hAnsi="宋体"/>
                <w:color w:val="000000"/>
                <w:szCs w:val="21"/>
                <w:lang w:eastAsia="zh-CN"/>
              </w:rPr>
              <w:t>、</w:t>
            </w:r>
            <w:r>
              <w:rPr>
                <w:rFonts w:hint="eastAsia" w:ascii="宋体" w:hAnsi="宋体"/>
                <w:color w:val="000000"/>
                <w:szCs w:val="21"/>
              </w:rPr>
              <w:t>陈书婷</w:t>
            </w:r>
            <w:r>
              <w:rPr>
                <w:rFonts w:hint="eastAsia" w:ascii="宋体" w:hAnsi="宋体"/>
                <w:color w:val="000000"/>
                <w:szCs w:val="21"/>
                <w:lang w:eastAsia="zh-CN"/>
              </w:rPr>
              <w:t>、</w:t>
            </w:r>
            <w:r>
              <w:rPr>
                <w:rFonts w:hint="eastAsia" w:ascii="宋体" w:hAnsi="宋体"/>
                <w:color w:val="000000"/>
                <w:szCs w:val="21"/>
                <w:lang w:val="en-US" w:eastAsia="zh-CN"/>
              </w:rPr>
              <w:t>王群、杨俊</w:t>
            </w:r>
            <w:r>
              <w:rPr>
                <w:rFonts w:hint="eastAsia" w:ascii="宋体" w:hAnsi="宋体"/>
                <w:color w:val="000000"/>
                <w:szCs w:val="21"/>
                <w:lang w:eastAsia="zh-CN"/>
              </w:rPr>
              <w:t>、</w:t>
            </w:r>
            <w:r>
              <w:rPr>
                <w:rFonts w:hint="eastAsia" w:ascii="宋体" w:hAnsi="宋体"/>
                <w:color w:val="000000"/>
                <w:szCs w:val="21"/>
              </w:rPr>
              <w:t>王菲</w:t>
            </w:r>
            <w:r>
              <w:rPr>
                <w:rFonts w:hint="eastAsia" w:ascii="宋体" w:hAnsi="宋体"/>
                <w:color w:val="000000"/>
                <w:szCs w:val="21"/>
                <w:lang w:eastAsia="zh-CN"/>
              </w:rPr>
              <w:t>、</w:t>
            </w:r>
            <w:r>
              <w:rPr>
                <w:rFonts w:hint="eastAsia" w:ascii="宋体" w:hAnsi="宋体"/>
                <w:color w:val="000000"/>
                <w:szCs w:val="21"/>
              </w:rPr>
              <w:t>朱元兵</w:t>
            </w:r>
            <w:r>
              <w:rPr>
                <w:rFonts w:hint="eastAsia" w:ascii="宋体" w:hAnsi="宋体"/>
                <w:color w:val="000000"/>
                <w:szCs w:val="21"/>
                <w:lang w:eastAsia="zh-CN"/>
              </w:rPr>
              <w:t>、</w:t>
            </w:r>
            <w:r>
              <w:rPr>
                <w:rFonts w:hint="eastAsia" w:ascii="宋体" w:hAnsi="宋体"/>
                <w:color w:val="000000"/>
                <w:szCs w:val="21"/>
              </w:rPr>
              <w:t>吕帅帅</w:t>
            </w:r>
            <w:r>
              <w:rPr>
                <w:rFonts w:hint="eastAsia" w:ascii="宋体" w:hAnsi="宋体"/>
                <w:color w:val="000000"/>
                <w:szCs w:val="21"/>
                <w:lang w:eastAsia="zh-CN"/>
              </w:rPr>
              <w:t>、</w:t>
            </w:r>
            <w:r>
              <w:rPr>
                <w:rFonts w:hint="eastAsia" w:ascii="宋体" w:hAnsi="宋体"/>
                <w:color w:val="000000"/>
                <w:szCs w:val="21"/>
              </w:rPr>
              <w:t>李文雅</w:t>
            </w:r>
            <w:r>
              <w:rPr>
                <w:rFonts w:hint="eastAsia" w:ascii="宋体" w:hAnsi="宋体"/>
                <w:color w:val="000000"/>
                <w:szCs w:val="21"/>
                <w:lang w:eastAsia="zh-CN"/>
              </w:rPr>
              <w:t>、</w:t>
            </w:r>
            <w:r>
              <w:rPr>
                <w:rFonts w:hint="eastAsia" w:ascii="宋体" w:hAnsi="宋体"/>
                <w:color w:val="000000"/>
                <w:szCs w:val="21"/>
              </w:rPr>
              <w:t>刘杏忍</w:t>
            </w:r>
          </w:p>
        </w:tc>
      </w:tr>
      <w:tr w14:paraId="45C0252E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cantSplit/>
          <w:trHeight w:val="1264" w:hRule="exact"/>
        </w:trPr>
        <w:tc>
          <w:tcPr>
            <w:tcW w:w="1794" w:type="dxa"/>
            <w:tcBorders>
              <w:bottom w:val="single" w:color="auto" w:sz="4" w:space="0"/>
            </w:tcBorders>
            <w:vAlign w:val="center"/>
          </w:tcPr>
          <w:p w14:paraId="04ACBADA">
            <w:pPr>
              <w:ind w:left="141" w:leftChars="67" w:right="176" w:rightChars="84"/>
              <w:rPr>
                <w:rFonts w:ascii="宋体" w:hAnsi="宋体"/>
                <w:color w:val="000000"/>
                <w:szCs w:val="21"/>
                <w:highlight w:val="none"/>
              </w:rPr>
            </w:pPr>
            <w:r>
              <w:rPr>
                <w:rFonts w:ascii="宋体" w:hAnsi="宋体"/>
                <w:color w:val="000000"/>
                <w:szCs w:val="21"/>
                <w:highlight w:val="none"/>
              </w:rPr>
              <w:t>1.</w:t>
            </w:r>
            <w:r>
              <w:rPr>
                <w:rFonts w:hint="eastAsia" w:ascii="宋体" w:hAnsi="宋体"/>
                <w:color w:val="000000"/>
                <w:szCs w:val="21"/>
                <w:highlight w:val="none"/>
              </w:rPr>
              <w:t>8标准体系表内编号</w:t>
            </w:r>
          </w:p>
        </w:tc>
        <w:tc>
          <w:tcPr>
            <w:tcW w:w="7590" w:type="dxa"/>
            <w:gridSpan w:val="5"/>
            <w:tcBorders>
              <w:bottom w:val="single" w:color="auto" w:sz="4" w:space="0"/>
            </w:tcBorders>
            <w:vAlign w:val="center"/>
          </w:tcPr>
          <w:p w14:paraId="1304BF2D">
            <w:pPr>
              <w:rPr>
                <w:rFonts w:hint="eastAsia" w:ascii="宋体" w:hAnsi="宋体" w:eastAsia="宋体"/>
                <w:color w:val="000000"/>
                <w:szCs w:val="21"/>
                <w:highlight w:val="none"/>
                <w:lang w:eastAsia="zh-CN"/>
              </w:rPr>
            </w:pPr>
            <w:r>
              <w:rPr>
                <w:rFonts w:hint="eastAsia" w:ascii="宋体" w:hAnsi="宋体" w:eastAsia="宋体"/>
                <w:color w:val="000000"/>
                <w:szCs w:val="21"/>
                <w:highlight w:val="none"/>
                <w:lang w:eastAsia="zh-CN"/>
              </w:rPr>
              <w:t>ICS: 03.120.20</w:t>
            </w:r>
          </w:p>
          <w:p w14:paraId="6215CC71">
            <w:pPr>
              <w:rPr>
                <w:rFonts w:hint="eastAsia" w:ascii="宋体" w:hAnsi="宋体" w:eastAsia="宋体"/>
                <w:color w:val="000000"/>
                <w:szCs w:val="21"/>
                <w:highlight w:val="none"/>
                <w:lang w:eastAsia="zh-CN"/>
              </w:rPr>
            </w:pPr>
            <w:r>
              <w:rPr>
                <w:rFonts w:hint="eastAsia" w:ascii="宋体" w:hAnsi="宋体" w:eastAsia="宋体"/>
                <w:color w:val="000000"/>
                <w:szCs w:val="21"/>
                <w:highlight w:val="none"/>
                <w:lang w:eastAsia="zh-CN"/>
              </w:rPr>
              <w:t>CCS: A00</w:t>
            </w:r>
          </w:p>
        </w:tc>
      </w:tr>
      <w:tr w14:paraId="49A6F9AD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cantSplit/>
          <w:trHeight w:val="2424" w:hRule="exact"/>
        </w:trPr>
        <w:tc>
          <w:tcPr>
            <w:tcW w:w="179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E650B45">
            <w:pPr>
              <w:ind w:left="141" w:leftChars="67" w:right="176" w:rightChars="84"/>
              <w:rPr>
                <w:rFonts w:ascii="宋体" w:hAnsi="宋体"/>
                <w:color w:val="000000"/>
                <w:szCs w:val="21"/>
              </w:rPr>
            </w:pPr>
            <w:r>
              <w:rPr>
                <w:rFonts w:ascii="宋体" w:hAnsi="宋体"/>
                <w:color w:val="000000"/>
                <w:szCs w:val="21"/>
              </w:rPr>
              <w:t>1.</w:t>
            </w:r>
            <w:r>
              <w:rPr>
                <w:rFonts w:hint="eastAsia" w:ascii="宋体" w:hAnsi="宋体"/>
                <w:color w:val="000000"/>
                <w:szCs w:val="21"/>
              </w:rPr>
              <w:t>9</w:t>
            </w:r>
            <w:r>
              <w:rPr>
                <w:rFonts w:ascii="宋体" w:hAnsi="宋体"/>
                <w:color w:val="000000"/>
                <w:szCs w:val="21"/>
              </w:rPr>
              <w:t>调整情况</w:t>
            </w:r>
          </w:p>
        </w:tc>
        <w:tc>
          <w:tcPr>
            <w:tcW w:w="7590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F5CF628">
            <w:pPr>
              <w:rPr>
                <w:rFonts w:hint="default" w:ascii="宋体" w:hAnsi="宋体" w:eastAsia="宋体"/>
                <w:color w:val="000000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color w:val="000000"/>
                <w:szCs w:val="21"/>
                <w:lang w:val="en-US" w:eastAsia="zh-CN"/>
              </w:rPr>
              <w:t>/</w:t>
            </w:r>
          </w:p>
        </w:tc>
      </w:tr>
    </w:tbl>
    <w:p w14:paraId="49572FD4">
      <w:pPr>
        <w:rPr>
          <w:rFonts w:eastAsia="仿宋_GB2312"/>
          <w:b/>
          <w:color w:val="000000"/>
          <w:kern w:val="0"/>
          <w:sz w:val="32"/>
        </w:rPr>
      </w:pPr>
    </w:p>
    <w:tbl>
      <w:tblPr>
        <w:tblStyle w:val="38"/>
        <w:tblpPr w:leftFromText="180" w:rightFromText="180" w:vertAnchor="text" w:horzAnchor="margin" w:tblpXSpec="center" w:tblpY="169"/>
        <w:tblW w:w="9384" w:type="dxa"/>
        <w:tblInd w:w="0" w:type="dxa"/>
        <w:tblBorders>
          <w:top w:val="single" w:color="auto" w:sz="6" w:space="0"/>
          <w:left w:val="single" w:color="auto" w:sz="6" w:space="0"/>
          <w:bottom w:val="single" w:color="auto" w:sz="6" w:space="0"/>
          <w:right w:val="single" w:color="auto" w:sz="6" w:space="0"/>
          <w:insideH w:val="single" w:color="auto" w:sz="6" w:space="0"/>
          <w:insideV w:val="single" w:color="auto" w:sz="6" w:space="0"/>
        </w:tblBorders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1794"/>
        <w:gridCol w:w="7590"/>
      </w:tblGrid>
      <w:tr w14:paraId="7C064E63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cantSplit/>
          <w:trHeight w:val="485" w:hRule="exact"/>
        </w:trPr>
        <w:tc>
          <w:tcPr>
            <w:tcW w:w="9384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78BF369">
            <w:pPr>
              <w:rPr>
                <w:rFonts w:ascii="宋体" w:hAnsi="宋体"/>
                <w:b/>
                <w:color w:val="000000"/>
                <w:szCs w:val="21"/>
              </w:rPr>
            </w:pPr>
            <w:r>
              <w:rPr>
                <w:rFonts w:hint="eastAsia" w:ascii="宋体" w:hAnsi="宋体"/>
                <w:b/>
                <w:color w:val="000000"/>
                <w:szCs w:val="21"/>
              </w:rPr>
              <w:t>2、背景情况</w:t>
            </w:r>
          </w:p>
        </w:tc>
      </w:tr>
      <w:tr w14:paraId="35391086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cantSplit/>
          <w:trHeight w:val="5733" w:hRule="atLeast"/>
        </w:trPr>
        <w:tc>
          <w:tcPr>
            <w:tcW w:w="1794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 w14:paraId="0BA2A19A">
            <w:pPr>
              <w:ind w:left="141" w:leftChars="67" w:right="36" w:rightChars="17"/>
              <w:rPr>
                <w:rFonts w:ascii="宋体" w:hAnsi="宋体"/>
                <w:color w:val="000000"/>
                <w:szCs w:val="21"/>
              </w:rPr>
            </w:pPr>
            <w:r>
              <w:rPr>
                <w:rFonts w:ascii="宋体" w:hAnsi="宋体"/>
                <w:color w:val="000000"/>
                <w:szCs w:val="21"/>
              </w:rPr>
              <w:t>2.1 目的、意义</w:t>
            </w:r>
          </w:p>
          <w:p w14:paraId="3DA613B7">
            <w:pPr>
              <w:ind w:left="141" w:leftChars="67" w:right="36" w:rightChars="17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（工作开展背景及要求）</w:t>
            </w:r>
          </w:p>
        </w:tc>
        <w:tc>
          <w:tcPr>
            <w:tcW w:w="7590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 w14:paraId="02D34FF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420" w:firstLineChars="200"/>
              <w:textAlignment w:val="auto"/>
              <w:rPr>
                <w:rFonts w:hint="eastAsia"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随着《中华人民共和国食品安全法》的深入实施及社会对食品安全监管要求的不断提高，食品实验室作为保障食品安全的核心技术支撑机构，其检测能力、数据可信度及管理效率面临更高挑战。传统实验室管理模式依赖人工操作和纸质记录，存在效率低、误差率高、数据追溯难等弊端，难以适应数字化时代的监管需求。与此同时，全球范围内实验室数字化转型已成为趋势，但我国食品实验室在数字化管理领域缺乏系统性指导标准，导致不同实验室的数字化水平参差不齐，数据孤岛现象突出，严重制约行业整体发展。</w:t>
            </w:r>
          </w:p>
          <w:p w14:paraId="1A4EEDA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420" w:firstLineChars="200"/>
              <w:textAlignment w:val="auto"/>
              <w:rPr>
                <w:rFonts w:hint="eastAsia"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在此背景下，《食品实验室数字化管理指南》的编制旨在为食品实验室提供一套科学、规范、可操作的数字化管理框架。其核心目标包括：</w:t>
            </w:r>
          </w:p>
          <w:p w14:paraId="1AF30C2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420" w:firstLineChars="200"/>
              <w:textAlignment w:val="auto"/>
              <w:rPr>
                <w:rFonts w:hint="eastAsia"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推动数字化转型：通过明确实验室信息化系统、硬件设施及数据管理的基本要求，指导实验室从基础电子化（C级）逐步迈向智能化（A级），实现人员、设备、物料、样品等全要素的动态管理，减少人为操作误差，提升检测效率与数据可靠性。</w:t>
            </w:r>
          </w:p>
          <w:p w14:paraId="6ED9EDE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420" w:firstLineChars="200"/>
              <w:textAlignment w:val="auto"/>
              <w:rPr>
                <w:rFonts w:hint="eastAsia"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填补标准空白：针对现有标准体系碎片化、覆盖范围有限的问题，本标准聚焦食品实验室的特殊需求（如样品多样性、检测时效性），提出分级管理体系（C/B/A三级），细化检测自动化、智能合规校验等关键环节的数字化要求，弥补现有通用标准（如CNAS-CL01-A025、RB/T 028-2020）的不足。</w:t>
            </w:r>
          </w:p>
          <w:p w14:paraId="674F40E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420" w:firstLineChars="200"/>
              <w:textAlignment w:val="auto"/>
              <w:rPr>
                <w:rFonts w:hint="eastAsia"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支撑监管公信力：通过规范数据采集、存储、追溯及安全防护机制，确保实验室数据真实、完整、可追溯，为法定监管部门提供可信赖的技术依据。同时，推动实验室与监管部门系统的数据互通，增强监管透明度与响应速度。</w:t>
            </w:r>
          </w:p>
          <w:p w14:paraId="3068F09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420" w:firstLineChars="200"/>
              <w:textAlignment w:val="auto"/>
              <w:rPr>
                <w:rFonts w:hint="eastAsia"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促进产业升级：引导实验室应用物联网、人工智能等新技术，构建智能排班、风险预测、能效优化等高级功能，推动食品检测行业从“经验驱动”向“数据驱动”转变，助力国家食品安全战略的高质量实施。</w:t>
            </w:r>
          </w:p>
          <w:p w14:paraId="4462374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420" w:firstLineChars="200"/>
              <w:textAlignment w:val="auto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本标准的制定不仅是食品实验室实现现代化管理的迫切需求，更是顺应全球数字化转型浪潮、提升我国食品行业国际竞争力的关键举措，对保障食品安全、服务民生福祉具有重要意义。</w:t>
            </w:r>
          </w:p>
        </w:tc>
      </w:tr>
      <w:tr w14:paraId="37A86D24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cantSplit/>
          <w:trHeight w:val="6276" w:hRule="exact"/>
        </w:trPr>
        <w:tc>
          <w:tcPr>
            <w:tcW w:w="179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03B1631">
            <w:pPr>
              <w:ind w:left="141" w:leftChars="67" w:right="36" w:rightChars="17"/>
              <w:rPr>
                <w:rFonts w:ascii="宋体" w:hAnsi="宋体"/>
                <w:color w:val="000000"/>
                <w:szCs w:val="21"/>
              </w:rPr>
            </w:pPr>
            <w:r>
              <w:rPr>
                <w:rFonts w:ascii="宋体" w:hAnsi="宋体"/>
                <w:color w:val="000000"/>
                <w:szCs w:val="21"/>
              </w:rPr>
              <w:t>2.2 与国内外相关标准、文献的关系</w:t>
            </w:r>
          </w:p>
        </w:tc>
        <w:tc>
          <w:tcPr>
            <w:tcW w:w="75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DB6AB4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420" w:firstLineChars="200"/>
              <w:textAlignment w:val="auto"/>
              <w:rPr>
                <w:rFonts w:hint="eastAsia"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本标准在充分研究国内外现有标准体系的基础上，结合我国食品实验室的实际需求，构建了一套兼具国际兼容性与本土适应性的数字化管理框架。</w:t>
            </w:r>
          </w:p>
          <w:p w14:paraId="507472B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420" w:firstLineChars="200"/>
              <w:textAlignment w:val="auto"/>
              <w:rPr>
                <w:rFonts w:hint="eastAsia"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（1）与国外标准的衔接与创新</w:t>
            </w:r>
          </w:p>
          <w:p w14:paraId="266F8CA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420" w:firstLineChars="200"/>
              <w:textAlignment w:val="auto"/>
              <w:rPr>
                <w:rFonts w:hint="eastAsia"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国际层面，本标准以ISO/IEC 17025:2017为核心参考，吸收其对电子记录、数据安全及风险管理的规范性要求，并进一步细化食品检测场景的数字化流程。同时，借鉴FDA 21 CFR Part 11的电子签名与权限控制条款，本标准在B级管理中增设设备“数字身份网”和动态权限监控功能，强化数据防篡改能力。此外，本标准创新性引入分级管理体系（C/B/A三级），覆盖从基础电子化到智能决策的全链条，较ISO 17025等通用标准更具实操性和前瞻性。</w:t>
            </w:r>
          </w:p>
          <w:p w14:paraId="7C3041B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420" w:firstLineChars="200"/>
              <w:textAlignment w:val="auto"/>
              <w:rPr>
                <w:rFonts w:hint="eastAsia"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（2）对国内标准的整合与提升</w:t>
            </w:r>
          </w:p>
          <w:p w14:paraId="412FB0C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420" w:firstLineChars="200"/>
              <w:textAlignment w:val="auto"/>
              <w:rPr>
                <w:rFonts w:hint="eastAsia"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国内现有标准（如RB/T 028-2020、SN/T 5562系列）多聚焦通用实验室或特定领域（如海关检测），缺乏对食品实验室特殊需求的针对性规范。本标准通过以下方式实现突破：</w:t>
            </w:r>
          </w:p>
          <w:p w14:paraId="5ACA865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420" w:firstLineChars="200"/>
              <w:textAlignment w:val="auto"/>
              <w:rPr>
                <w:rFonts w:hint="eastAsia"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体系化整合：将碎片化的地方标准（如DB23/T 3511）、行业标准（如RB/T 029）及团体标准（如T/ZSM 0031）纳入统一框架，解决“数据孤岛”问题。</w:t>
            </w:r>
          </w:p>
          <w:p w14:paraId="5105364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420" w:firstLineChars="200"/>
              <w:textAlignment w:val="auto"/>
              <w:rPr>
                <w:rFonts w:hint="eastAsia"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场景化适配：本标准针对食品实验室在检测、报告生成、样品管理等核心场景中的特殊需求，通过细化数字化管理规则，填补现行标准在自动化设备接入、智能合规校验等环节的空白，实现技术与业务场景的深度适配。</w:t>
            </w:r>
          </w:p>
          <w:p w14:paraId="38A3CAF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420" w:firstLineChars="200"/>
              <w:textAlignment w:val="auto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技术融合：结合物联网、人工智能等新技术趋势，在A级管理中提出风险预测模型等创新功能，弥补现有标准在大数据分析、物联网安全等方面的滞后性。</w:t>
            </w:r>
          </w:p>
        </w:tc>
      </w:tr>
    </w:tbl>
    <w:p w14:paraId="1CEAAFC7">
      <w:pPr>
        <w:rPr>
          <w:rFonts w:eastAsia="仿宋_GB2312"/>
          <w:b/>
          <w:color w:val="000000"/>
          <w:kern w:val="0"/>
          <w:sz w:val="32"/>
        </w:rPr>
      </w:pPr>
    </w:p>
    <w:tbl>
      <w:tblPr>
        <w:tblStyle w:val="38"/>
        <w:tblpPr w:leftFromText="180" w:rightFromText="180" w:vertAnchor="text" w:horzAnchor="margin" w:tblpXSpec="center" w:tblpY="169"/>
        <w:tblW w:w="9625" w:type="dxa"/>
        <w:tblInd w:w="0" w:type="dxa"/>
        <w:tblBorders>
          <w:top w:val="single" w:color="auto" w:sz="6" w:space="0"/>
          <w:left w:val="single" w:color="auto" w:sz="6" w:space="0"/>
          <w:bottom w:val="single" w:color="auto" w:sz="6" w:space="0"/>
          <w:right w:val="single" w:color="auto" w:sz="6" w:space="0"/>
          <w:insideH w:val="single" w:color="auto" w:sz="6" w:space="0"/>
          <w:insideV w:val="single" w:color="auto" w:sz="6" w:space="0"/>
        </w:tblBorders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1794"/>
        <w:gridCol w:w="7831"/>
      </w:tblGrid>
      <w:tr w14:paraId="3E0D8A14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cantSplit/>
          <w:trHeight w:val="465" w:hRule="exact"/>
        </w:trPr>
        <w:tc>
          <w:tcPr>
            <w:tcW w:w="962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EBDCB50">
            <w:pPr>
              <w:rPr>
                <w:rFonts w:ascii="宋体" w:hAnsi="宋体"/>
                <w:b/>
                <w:color w:val="000000"/>
                <w:szCs w:val="21"/>
              </w:rPr>
            </w:pPr>
            <w:r>
              <w:rPr>
                <w:rFonts w:hint="eastAsia" w:ascii="宋体" w:hAnsi="宋体"/>
                <w:b/>
                <w:color w:val="000000"/>
                <w:szCs w:val="21"/>
              </w:rPr>
              <w:t>3  编制过程</w:t>
            </w:r>
          </w:p>
        </w:tc>
      </w:tr>
      <w:tr w14:paraId="4864F7D7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cantSplit/>
          <w:trHeight w:val="2947" w:hRule="atLeast"/>
        </w:trPr>
        <w:tc>
          <w:tcPr>
            <w:tcW w:w="1794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2F62E095">
            <w:pPr>
              <w:ind w:left="141" w:leftChars="67" w:right="176" w:rightChars="84"/>
              <w:rPr>
                <w:rFonts w:ascii="宋体" w:hAnsi="宋体"/>
                <w:color w:val="000000"/>
                <w:szCs w:val="21"/>
              </w:rPr>
            </w:pPr>
            <w:r>
              <w:rPr>
                <w:rFonts w:ascii="宋体" w:hAnsi="宋体"/>
                <w:color w:val="000000"/>
                <w:szCs w:val="21"/>
              </w:rPr>
              <w:t>3.</w:t>
            </w:r>
            <w:r>
              <w:rPr>
                <w:rFonts w:hint="eastAsia" w:ascii="宋体" w:hAnsi="宋体"/>
                <w:color w:val="000000"/>
                <w:szCs w:val="21"/>
              </w:rPr>
              <w:t>1</w:t>
            </w:r>
            <w:r>
              <w:rPr>
                <w:rFonts w:ascii="宋体" w:hAnsi="宋体"/>
                <w:color w:val="000000"/>
                <w:szCs w:val="21"/>
              </w:rPr>
              <w:t xml:space="preserve"> 分工情况</w:t>
            </w:r>
          </w:p>
        </w:tc>
        <w:tc>
          <w:tcPr>
            <w:tcW w:w="7831" w:type="dxa"/>
            <w:tcBorders>
              <w:bottom w:val="single" w:color="auto" w:sz="4" w:space="0"/>
            </w:tcBorders>
            <w:vAlign w:val="center"/>
          </w:tcPr>
          <w:p w14:paraId="37DD62B0">
            <w:pPr>
              <w:rPr>
                <w:rFonts w:hint="eastAsia" w:ascii="宋体" w:hAnsi="宋体"/>
                <w:color w:val="000000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color w:val="000000"/>
                <w:szCs w:val="21"/>
                <w:lang w:val="en-US" w:eastAsia="zh-CN"/>
              </w:rPr>
              <w:t>牵头单位：</w:t>
            </w:r>
            <w:r>
              <w:rPr>
                <w:rFonts w:hint="eastAsia" w:ascii="宋体" w:hAnsi="宋体"/>
                <w:color w:val="000000"/>
                <w:szCs w:val="21"/>
              </w:rPr>
              <w:t>贵州省分析测试研究院</w:t>
            </w:r>
            <w:r>
              <w:rPr>
                <w:rFonts w:hint="eastAsia" w:ascii="宋体" w:hAnsi="宋体"/>
                <w:color w:val="000000"/>
                <w:szCs w:val="21"/>
                <w:lang w:val="en-US" w:eastAsia="zh-CN"/>
              </w:rPr>
              <w:t>负责总体统筹工作。</w:t>
            </w:r>
          </w:p>
          <w:p w14:paraId="3AB732CF">
            <w:pPr>
              <w:rPr>
                <w:rFonts w:hint="eastAsia" w:ascii="宋体" w:hAnsi="宋体"/>
                <w:color w:val="000000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color w:val="000000"/>
                <w:szCs w:val="21"/>
                <w:lang w:val="en-US" w:eastAsia="zh-CN"/>
              </w:rPr>
              <w:t>编制组一：</w:t>
            </w:r>
            <w:r>
              <w:rPr>
                <w:rFonts w:hint="eastAsia" w:ascii="宋体" w:hAnsi="宋体"/>
                <w:color w:val="000000"/>
                <w:szCs w:val="21"/>
              </w:rPr>
              <w:t>贵州省分析测试研究院北京市科学技术研究院分析测试研究所（北京市理化分析测试中心）</w:t>
            </w:r>
            <w:r>
              <w:rPr>
                <w:rFonts w:hint="eastAsia" w:ascii="宋体" w:hAnsi="宋体"/>
                <w:color w:val="000000"/>
                <w:szCs w:val="21"/>
                <w:lang w:eastAsia="zh-CN"/>
              </w:rPr>
              <w:t>、</w:t>
            </w:r>
            <w:r>
              <w:rPr>
                <w:rFonts w:hint="eastAsia" w:ascii="宋体" w:hAnsi="宋体"/>
                <w:color w:val="000000"/>
                <w:szCs w:val="21"/>
              </w:rPr>
              <w:t>北京信睿浩扬科技有限公司</w:t>
            </w:r>
            <w:r>
              <w:rPr>
                <w:rFonts w:hint="eastAsia" w:ascii="宋体" w:hAnsi="宋体"/>
                <w:color w:val="000000"/>
                <w:szCs w:val="21"/>
                <w:lang w:eastAsia="zh-CN"/>
              </w:rPr>
              <w:t>、</w:t>
            </w:r>
            <w:r>
              <w:rPr>
                <w:rFonts w:hint="eastAsia" w:ascii="宋体" w:hAnsi="宋体"/>
                <w:color w:val="000000"/>
                <w:szCs w:val="21"/>
                <w:lang w:val="en-US" w:eastAsia="zh-CN"/>
              </w:rPr>
              <w:t>负责1-5章节、附录内容编写。</w:t>
            </w:r>
          </w:p>
          <w:p w14:paraId="7FE5027F">
            <w:pPr>
              <w:rPr>
                <w:rFonts w:hint="eastAsia" w:ascii="宋体" w:hAnsi="宋体" w:eastAsia="宋体"/>
                <w:color w:val="000000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color w:val="000000"/>
                <w:szCs w:val="21"/>
                <w:lang w:val="en-US" w:eastAsia="zh-CN"/>
              </w:rPr>
              <w:t>编制组二：</w:t>
            </w:r>
            <w:r>
              <w:rPr>
                <w:rFonts w:hint="eastAsia" w:ascii="宋体" w:hAnsi="宋体"/>
                <w:color w:val="000000"/>
                <w:szCs w:val="21"/>
              </w:rPr>
              <w:t>长兴县食品药品检验检测中心</w:t>
            </w:r>
            <w:r>
              <w:rPr>
                <w:rFonts w:hint="eastAsia" w:ascii="宋体" w:hAnsi="宋体"/>
                <w:color w:val="000000"/>
                <w:szCs w:val="21"/>
                <w:lang w:eastAsia="zh-CN"/>
              </w:rPr>
              <w:t>、</w:t>
            </w:r>
            <w:r>
              <w:rPr>
                <w:rFonts w:hint="eastAsia" w:ascii="宋体" w:hAnsi="宋体"/>
                <w:color w:val="000000"/>
                <w:szCs w:val="21"/>
              </w:rPr>
              <w:t>上海源本食品质量检验有限公司</w:t>
            </w:r>
            <w:r>
              <w:rPr>
                <w:rFonts w:hint="eastAsia" w:ascii="宋体" w:hAnsi="宋体"/>
                <w:color w:val="000000"/>
                <w:szCs w:val="21"/>
                <w:lang w:eastAsia="zh-CN"/>
              </w:rPr>
              <w:t>、贵州省检测技术研究应用中心</w:t>
            </w:r>
            <w:r>
              <w:rPr>
                <w:rFonts w:hint="eastAsia" w:ascii="宋体" w:hAnsi="宋体"/>
                <w:color w:val="000000"/>
                <w:szCs w:val="21"/>
                <w:lang w:val="en-US" w:eastAsia="zh-CN"/>
              </w:rPr>
              <w:t>负责章节6编写</w:t>
            </w:r>
          </w:p>
          <w:p w14:paraId="439044FE">
            <w:pPr>
              <w:rPr>
                <w:rFonts w:hint="eastAsia" w:ascii="宋体" w:hAnsi="宋体"/>
                <w:color w:val="000000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color w:val="000000"/>
                <w:szCs w:val="21"/>
                <w:lang w:val="en-US" w:eastAsia="zh-CN"/>
              </w:rPr>
              <w:t>编制组三：</w:t>
            </w:r>
            <w:r>
              <w:rPr>
                <w:rFonts w:hint="eastAsia" w:ascii="宋体" w:hAnsi="宋体"/>
                <w:color w:val="000000"/>
                <w:szCs w:val="21"/>
              </w:rPr>
              <w:t>舟山市食品药品检验检测研究院</w:t>
            </w:r>
            <w:r>
              <w:rPr>
                <w:rFonts w:hint="eastAsia" w:ascii="宋体" w:hAnsi="宋体"/>
                <w:color w:val="000000"/>
                <w:szCs w:val="21"/>
                <w:lang w:eastAsia="zh-CN"/>
              </w:rPr>
              <w:t>、</w:t>
            </w:r>
            <w:r>
              <w:rPr>
                <w:rFonts w:hint="eastAsia" w:ascii="宋体" w:hAnsi="宋体"/>
                <w:color w:val="000000"/>
                <w:szCs w:val="21"/>
              </w:rPr>
              <w:t>华润雪花啤酒（中国）有限公司</w:t>
            </w:r>
            <w:r>
              <w:rPr>
                <w:rFonts w:hint="eastAsia" w:ascii="宋体" w:hAnsi="宋体"/>
                <w:color w:val="000000"/>
                <w:szCs w:val="21"/>
                <w:lang w:eastAsia="zh-CN"/>
              </w:rPr>
              <w:t>、</w:t>
            </w:r>
            <w:r>
              <w:rPr>
                <w:rFonts w:hint="eastAsia" w:ascii="宋体" w:hAnsi="宋体"/>
                <w:color w:val="000000"/>
                <w:szCs w:val="21"/>
              </w:rPr>
              <w:t>三全食品股份有限公司</w:t>
            </w:r>
            <w:r>
              <w:rPr>
                <w:rFonts w:hint="eastAsia" w:ascii="宋体" w:hAnsi="宋体"/>
                <w:color w:val="000000"/>
                <w:szCs w:val="21"/>
                <w:lang w:val="en-US" w:eastAsia="zh-CN"/>
              </w:rPr>
              <w:t>负责章节7编写</w:t>
            </w:r>
          </w:p>
          <w:p w14:paraId="6AB31949">
            <w:pPr>
              <w:rPr>
                <w:rFonts w:hint="default" w:ascii="宋体" w:hAnsi="宋体"/>
                <w:color w:val="000000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color w:val="000000"/>
                <w:szCs w:val="21"/>
                <w:lang w:val="en-US" w:eastAsia="zh-CN"/>
              </w:rPr>
              <w:t>编制组四：</w:t>
            </w:r>
            <w:r>
              <w:rPr>
                <w:rFonts w:hint="eastAsia" w:ascii="宋体" w:hAnsi="宋体"/>
                <w:color w:val="000000"/>
                <w:szCs w:val="21"/>
              </w:rPr>
              <w:t>河南省药品医疗器械检验院（河南省疫苗批签中心）</w:t>
            </w:r>
            <w:r>
              <w:rPr>
                <w:rFonts w:hint="eastAsia" w:ascii="宋体" w:hAnsi="宋体"/>
                <w:color w:val="000000"/>
                <w:szCs w:val="21"/>
                <w:lang w:eastAsia="zh-CN"/>
              </w:rPr>
              <w:t>、</w:t>
            </w:r>
            <w:r>
              <w:rPr>
                <w:rFonts w:hint="eastAsia" w:ascii="宋体" w:hAnsi="宋体"/>
                <w:color w:val="000000"/>
                <w:szCs w:val="21"/>
              </w:rPr>
              <w:t>吉林省产品质量监督检验院</w:t>
            </w:r>
            <w:r>
              <w:rPr>
                <w:rFonts w:hint="eastAsia" w:ascii="宋体" w:hAnsi="宋体"/>
                <w:color w:val="000000"/>
                <w:szCs w:val="21"/>
                <w:lang w:eastAsia="zh-CN"/>
              </w:rPr>
              <w:t>、</w:t>
            </w:r>
            <w:r>
              <w:rPr>
                <w:rFonts w:hint="eastAsia" w:ascii="宋体" w:hAnsi="宋体"/>
                <w:color w:val="000000"/>
                <w:szCs w:val="21"/>
              </w:rPr>
              <w:t>深圳海关食品检验检疫技术中心</w:t>
            </w:r>
            <w:r>
              <w:rPr>
                <w:rFonts w:hint="eastAsia" w:ascii="宋体" w:hAnsi="宋体"/>
                <w:color w:val="000000"/>
                <w:szCs w:val="21"/>
                <w:lang w:eastAsia="zh-CN"/>
              </w:rPr>
              <w:t>、</w:t>
            </w:r>
            <w:r>
              <w:rPr>
                <w:rFonts w:hint="eastAsia" w:ascii="宋体" w:hAnsi="宋体"/>
                <w:color w:val="000000"/>
                <w:szCs w:val="21"/>
              </w:rPr>
              <w:t>中国贵州茅台酒厂(集团)有限责任公司</w:t>
            </w:r>
            <w:r>
              <w:rPr>
                <w:rFonts w:hint="eastAsia" w:ascii="宋体" w:hAnsi="宋体"/>
                <w:color w:val="000000"/>
                <w:szCs w:val="21"/>
                <w:lang w:eastAsia="zh-CN"/>
              </w:rPr>
              <w:t>、</w:t>
            </w:r>
            <w:r>
              <w:rPr>
                <w:rFonts w:hint="eastAsia" w:ascii="宋体" w:hAnsi="宋体"/>
                <w:color w:val="000000"/>
                <w:szCs w:val="21"/>
              </w:rPr>
              <w:t>佛山市海天(高明)调味食品有限公司</w:t>
            </w:r>
            <w:r>
              <w:rPr>
                <w:rFonts w:hint="eastAsia" w:ascii="宋体" w:hAnsi="宋体"/>
                <w:color w:val="000000"/>
                <w:szCs w:val="21"/>
                <w:lang w:val="en-US" w:eastAsia="zh-CN"/>
              </w:rPr>
              <w:t>负责章节8编写</w:t>
            </w:r>
          </w:p>
        </w:tc>
      </w:tr>
      <w:tr w14:paraId="78435D4B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cantSplit/>
          <w:trHeight w:val="2947" w:hRule="atLeast"/>
        </w:trPr>
        <w:tc>
          <w:tcPr>
            <w:tcW w:w="1794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3BB6A5CF">
            <w:pPr>
              <w:ind w:left="141" w:leftChars="67" w:right="176" w:rightChars="84"/>
              <w:rPr>
                <w:rFonts w:ascii="宋体" w:hAnsi="宋体"/>
                <w:color w:val="000000"/>
                <w:szCs w:val="21"/>
              </w:rPr>
            </w:pPr>
            <w:r>
              <w:rPr>
                <w:rFonts w:ascii="宋体" w:hAnsi="宋体"/>
                <w:color w:val="000000"/>
                <w:szCs w:val="21"/>
              </w:rPr>
              <w:t>3.</w:t>
            </w:r>
            <w:r>
              <w:rPr>
                <w:rFonts w:hint="eastAsia" w:ascii="宋体" w:hAnsi="宋体"/>
                <w:color w:val="000000"/>
                <w:szCs w:val="21"/>
              </w:rPr>
              <w:t>2起草阶段</w:t>
            </w:r>
          </w:p>
        </w:tc>
        <w:tc>
          <w:tcPr>
            <w:tcW w:w="7831" w:type="dxa"/>
            <w:tcBorders>
              <w:bottom w:val="single" w:color="auto" w:sz="4" w:space="0"/>
            </w:tcBorders>
            <w:vAlign w:val="center"/>
          </w:tcPr>
          <w:p w14:paraId="082B3066">
            <w:pPr>
              <w:rPr>
                <w:rFonts w:hint="eastAsia"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（1）项目启动与筹备阶段（2024年6月-11月）：</w:t>
            </w:r>
          </w:p>
          <w:p w14:paraId="09D2015E">
            <w:pPr>
              <w:rPr>
                <w:rFonts w:hint="eastAsia"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接到标准修订任务后，贵州省分析测试研究院成立了标准编制项目组，并就标准修订工作任务进行了分解部署。明确各成员职责分工，开展项目前期调研，收集国内外相关资料与信息，制定项目实施方案与详细工作计划，确定标准编制大纲框架、技术路线、项目目标、任务与计划安排，协调各方资源，为项目顺利实施奠定基础。</w:t>
            </w:r>
          </w:p>
          <w:p w14:paraId="52F3702A">
            <w:pPr>
              <w:rPr>
                <w:rFonts w:hint="eastAsia"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（2）标准草案编制阶段（2024年11月-12月）：</w:t>
            </w:r>
          </w:p>
          <w:p w14:paraId="73AAF294">
            <w:pPr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依据编制大纲与调研资料，编写标准草案各章节内容，组织内部研讨与专家咨询，并于2024年12月在贵阳召开了标准编制讨论会，会上编制组及受邀专家对草案内容进行反复论证与修改完善，形成标准草案，明确标准关键技术指标、管理要求与实施细则，确保草案内容科学合理、技术先进、具有可操作性与前瞻性，满足食品实验室数字化管理实际需求与发展趋势。</w:t>
            </w:r>
          </w:p>
        </w:tc>
      </w:tr>
      <w:tr w14:paraId="2B84BA7D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cantSplit/>
          <w:trHeight w:val="2247" w:hRule="atLeast"/>
        </w:trPr>
        <w:tc>
          <w:tcPr>
            <w:tcW w:w="1794" w:type="dxa"/>
            <w:tcBorders>
              <w:top w:val="single" w:color="auto" w:sz="4" w:space="0"/>
              <w:bottom w:val="single" w:color="auto" w:sz="6" w:space="0"/>
            </w:tcBorders>
            <w:vAlign w:val="center"/>
          </w:tcPr>
          <w:p w14:paraId="2048C3DC">
            <w:pPr>
              <w:ind w:left="141" w:leftChars="67" w:right="176" w:rightChars="84"/>
              <w:rPr>
                <w:rFonts w:ascii="宋体" w:hAnsi="宋体"/>
                <w:color w:val="000000"/>
                <w:szCs w:val="21"/>
              </w:rPr>
            </w:pPr>
            <w:r>
              <w:rPr>
                <w:rFonts w:ascii="宋体" w:hAnsi="宋体"/>
                <w:color w:val="000000"/>
                <w:szCs w:val="21"/>
              </w:rPr>
              <w:t>3.</w:t>
            </w:r>
            <w:r>
              <w:rPr>
                <w:rFonts w:hint="eastAsia" w:ascii="宋体" w:hAnsi="宋体"/>
                <w:color w:val="000000"/>
                <w:szCs w:val="21"/>
              </w:rPr>
              <w:t>3征求意见阶段</w:t>
            </w:r>
          </w:p>
        </w:tc>
        <w:tc>
          <w:tcPr>
            <w:tcW w:w="7831" w:type="dxa"/>
            <w:tcBorders>
              <w:top w:val="single" w:color="auto" w:sz="4" w:space="0"/>
              <w:bottom w:val="single" w:color="auto" w:sz="6" w:space="0"/>
            </w:tcBorders>
            <w:vAlign w:val="center"/>
          </w:tcPr>
          <w:p w14:paraId="24EDD944">
            <w:pPr>
              <w:jc w:val="left"/>
              <w:rPr>
                <w:rFonts w:ascii="宋体" w:hAnsi="宋体"/>
                <w:color w:val="000000"/>
                <w:szCs w:val="21"/>
              </w:rPr>
            </w:pPr>
          </w:p>
        </w:tc>
      </w:tr>
      <w:tr w14:paraId="04E94B4A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cantSplit/>
          <w:trHeight w:val="1973" w:hRule="atLeast"/>
        </w:trPr>
        <w:tc>
          <w:tcPr>
            <w:tcW w:w="1794" w:type="dxa"/>
            <w:tcBorders>
              <w:top w:val="single" w:color="auto" w:sz="6" w:space="0"/>
              <w:bottom w:val="single" w:color="auto" w:sz="6" w:space="0"/>
            </w:tcBorders>
            <w:vAlign w:val="center"/>
          </w:tcPr>
          <w:p w14:paraId="5AF91FEC">
            <w:pPr>
              <w:ind w:left="141" w:leftChars="67" w:right="176" w:rightChars="84"/>
              <w:rPr>
                <w:rFonts w:ascii="宋体" w:hAnsi="宋体"/>
                <w:color w:val="000000"/>
                <w:szCs w:val="21"/>
              </w:rPr>
            </w:pPr>
            <w:r>
              <w:rPr>
                <w:rFonts w:ascii="宋体" w:hAnsi="宋体"/>
                <w:color w:val="000000"/>
                <w:szCs w:val="21"/>
              </w:rPr>
              <w:t>3.</w:t>
            </w:r>
            <w:r>
              <w:rPr>
                <w:rFonts w:hint="eastAsia" w:ascii="宋体" w:hAnsi="宋体"/>
                <w:color w:val="000000"/>
                <w:szCs w:val="21"/>
              </w:rPr>
              <w:t>4标准预审查阶段</w:t>
            </w:r>
          </w:p>
        </w:tc>
        <w:tc>
          <w:tcPr>
            <w:tcW w:w="7831" w:type="dxa"/>
            <w:tcBorders>
              <w:top w:val="single" w:color="auto" w:sz="6" w:space="0"/>
              <w:bottom w:val="single" w:color="auto" w:sz="6" w:space="0"/>
            </w:tcBorders>
            <w:vAlign w:val="center"/>
          </w:tcPr>
          <w:p w14:paraId="40B21E23">
            <w:pPr>
              <w:jc w:val="left"/>
              <w:rPr>
                <w:rFonts w:ascii="宋体" w:hAnsi="宋体"/>
                <w:color w:val="000000"/>
                <w:szCs w:val="21"/>
              </w:rPr>
            </w:pPr>
          </w:p>
        </w:tc>
      </w:tr>
      <w:tr w14:paraId="69C21A88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cantSplit/>
          <w:trHeight w:val="1833" w:hRule="atLeast"/>
        </w:trPr>
        <w:tc>
          <w:tcPr>
            <w:tcW w:w="1794" w:type="dxa"/>
            <w:tcBorders>
              <w:top w:val="single" w:color="auto" w:sz="6" w:space="0"/>
              <w:bottom w:val="single" w:color="auto" w:sz="6" w:space="0"/>
            </w:tcBorders>
            <w:vAlign w:val="center"/>
          </w:tcPr>
          <w:p w14:paraId="109C98FF">
            <w:pPr>
              <w:ind w:left="141" w:leftChars="67" w:right="176" w:rightChars="84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3.5标准审查阶段</w:t>
            </w:r>
          </w:p>
        </w:tc>
        <w:tc>
          <w:tcPr>
            <w:tcW w:w="7831" w:type="dxa"/>
            <w:tcBorders>
              <w:top w:val="single" w:color="auto" w:sz="6" w:space="0"/>
              <w:bottom w:val="single" w:color="auto" w:sz="6" w:space="0"/>
            </w:tcBorders>
            <w:vAlign w:val="center"/>
          </w:tcPr>
          <w:p w14:paraId="6AA7AAFA">
            <w:pPr>
              <w:jc w:val="left"/>
              <w:rPr>
                <w:rFonts w:ascii="宋体" w:hAnsi="宋体"/>
                <w:color w:val="000000"/>
                <w:szCs w:val="21"/>
              </w:rPr>
            </w:pPr>
          </w:p>
        </w:tc>
      </w:tr>
    </w:tbl>
    <w:p w14:paraId="2F2DF63E">
      <w:pPr>
        <w:rPr>
          <w:rFonts w:eastAsia="仿宋_GB2312"/>
          <w:b/>
          <w:color w:val="000000"/>
          <w:kern w:val="0"/>
          <w:sz w:val="32"/>
        </w:rPr>
      </w:pPr>
      <w:r>
        <w:rPr>
          <w:rFonts w:eastAsia="仿宋_GB2312"/>
          <w:b/>
          <w:color w:val="000000"/>
          <w:kern w:val="0"/>
          <w:sz w:val="32"/>
        </w:rPr>
        <w:br w:type="page"/>
      </w:r>
    </w:p>
    <w:tbl>
      <w:tblPr>
        <w:tblStyle w:val="38"/>
        <w:tblpPr w:leftFromText="180" w:rightFromText="180" w:vertAnchor="text" w:horzAnchor="margin" w:tblpXSpec="center" w:tblpY="169"/>
        <w:tblW w:w="9625" w:type="dxa"/>
        <w:jc w:val="center"/>
        <w:tblBorders>
          <w:top w:val="single" w:color="auto" w:sz="6" w:space="0"/>
          <w:left w:val="single" w:color="auto" w:sz="6" w:space="0"/>
          <w:bottom w:val="single" w:color="auto" w:sz="6" w:space="0"/>
          <w:right w:val="single" w:color="auto" w:sz="6" w:space="0"/>
          <w:insideH w:val="single" w:color="auto" w:sz="6" w:space="0"/>
          <w:insideV w:val="single" w:color="auto" w:sz="6" w:space="0"/>
        </w:tblBorders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9625"/>
      </w:tblGrid>
      <w:tr w14:paraId="16D03F1A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cantSplit/>
          <w:trHeight w:val="613" w:hRule="atLeast"/>
          <w:jc w:val="center"/>
        </w:trPr>
        <w:tc>
          <w:tcPr>
            <w:tcW w:w="9625" w:type="dxa"/>
            <w:tcBorders>
              <w:top w:val="nil"/>
              <w:left w:val="nil"/>
              <w:bottom w:val="single" w:color="auto" w:sz="4" w:space="0"/>
              <w:right w:val="nil"/>
            </w:tcBorders>
            <w:vAlign w:val="center"/>
          </w:tcPr>
          <w:p w14:paraId="6DF1CEFB">
            <w:pPr>
              <w:rPr>
                <w:rFonts w:ascii="宋体" w:hAnsi="宋体"/>
                <w:b/>
                <w:color w:val="000000"/>
                <w:szCs w:val="21"/>
              </w:rPr>
            </w:pPr>
            <w:r>
              <w:rPr>
                <w:rFonts w:hint="eastAsia" w:ascii="宋体" w:hAnsi="宋体"/>
                <w:b/>
                <w:color w:val="000000"/>
                <w:szCs w:val="21"/>
              </w:rPr>
              <w:t>4  主要技术内容的确定</w:t>
            </w:r>
          </w:p>
        </w:tc>
      </w:tr>
      <w:tr w14:paraId="38371ADF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cantSplit/>
          <w:trHeight w:val="11993" w:hRule="atLeast"/>
          <w:jc w:val="center"/>
        </w:trPr>
        <w:tc>
          <w:tcPr>
            <w:tcW w:w="96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1755B6D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420" w:firstLineChars="200"/>
              <w:jc w:val="both"/>
              <w:textAlignment w:val="auto"/>
              <w:rPr>
                <w:rFonts w:hint="eastAsia"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本标准技术内容的制定以国内外相关法规、标准及食品实验室实际需求为基础，结合试点验证与专家论证，形成覆盖管理原则、基础条件、分级管理体系等核心内容的技术框架。具体如下：</w:t>
            </w:r>
          </w:p>
          <w:p w14:paraId="10DB782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422" w:firstLineChars="200"/>
              <w:jc w:val="both"/>
              <w:textAlignment w:val="auto"/>
              <w:rPr>
                <w:rFonts w:hint="eastAsia" w:ascii="宋体" w:hAnsi="宋体"/>
                <w:b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/>
                <w:bCs/>
                <w:color w:val="000000"/>
                <w:szCs w:val="21"/>
              </w:rPr>
              <w:t>1. 范围</w:t>
            </w:r>
          </w:p>
          <w:p w14:paraId="5A14516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420" w:firstLineChars="200"/>
              <w:jc w:val="both"/>
              <w:textAlignment w:val="auto"/>
              <w:rPr>
                <w:rFonts w:hint="eastAsia"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本文件规定了食品实验室数字化管理的原则、基础条件及分级管理体系（C级、B级、A级），适用于各类食品实验室（第三方检测机构、企业质检中心、科研院所等）的数字化建设与管理，重点支持食品安全检测、质量控制及研究场景。</w:t>
            </w:r>
          </w:p>
          <w:p w14:paraId="4CFF7A0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422" w:firstLineChars="200"/>
              <w:jc w:val="both"/>
              <w:textAlignment w:val="auto"/>
              <w:rPr>
                <w:rFonts w:hint="eastAsia" w:ascii="宋体" w:hAnsi="宋体"/>
                <w:b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/>
                <w:bCs/>
                <w:color w:val="000000"/>
                <w:szCs w:val="21"/>
              </w:rPr>
              <w:t>2. 规范性引用文件</w:t>
            </w:r>
          </w:p>
          <w:p w14:paraId="5809692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420" w:firstLineChars="200"/>
              <w:jc w:val="both"/>
              <w:textAlignment w:val="auto"/>
              <w:rPr>
                <w:rFonts w:hint="eastAsia"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标准引用国内外关键法规与标准，包括：</w:t>
            </w:r>
          </w:p>
          <w:p w14:paraId="7156CA3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420" w:firstLineChars="200"/>
              <w:jc w:val="both"/>
              <w:textAlignment w:val="auto"/>
              <w:rPr>
                <w:rFonts w:hint="eastAsia"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GB/T 27025-2019（实验室能力通用要求）</w:t>
            </w:r>
          </w:p>
          <w:p w14:paraId="1A0DE6D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420" w:firstLineChars="200"/>
              <w:jc w:val="both"/>
              <w:textAlignment w:val="auto"/>
              <w:rPr>
                <w:rFonts w:hint="eastAsia"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SN/T 5562.1-2023（海关实验室数字化规范）</w:t>
            </w:r>
          </w:p>
          <w:p w14:paraId="61B0201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420" w:firstLineChars="200"/>
              <w:jc w:val="both"/>
              <w:textAlignment w:val="auto"/>
              <w:rPr>
                <w:rFonts w:hint="eastAsia"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GB/T 33745-2017（物联网术语）</w:t>
            </w:r>
          </w:p>
          <w:p w14:paraId="63911FD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420" w:firstLineChars="200"/>
              <w:jc w:val="both"/>
              <w:textAlignment w:val="auto"/>
              <w:rPr>
                <w:rFonts w:hint="eastAsia"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GB/T 35295-2017（大数据术语）</w:t>
            </w:r>
          </w:p>
          <w:p w14:paraId="056BAAE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420" w:firstLineChars="200"/>
              <w:jc w:val="both"/>
              <w:textAlignment w:val="auto"/>
              <w:rPr>
                <w:rFonts w:hint="eastAsia"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RB/T 028-2020（实验室信息管理系统管理规范）</w:t>
            </w:r>
          </w:p>
          <w:p w14:paraId="1F89B8D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422" w:firstLineChars="200"/>
              <w:jc w:val="both"/>
              <w:textAlignment w:val="auto"/>
              <w:rPr>
                <w:rFonts w:hint="eastAsia" w:ascii="宋体" w:hAnsi="宋体"/>
                <w:b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/>
                <w:bCs/>
                <w:color w:val="000000"/>
                <w:szCs w:val="21"/>
              </w:rPr>
              <w:t>3. 术语和定义</w:t>
            </w:r>
          </w:p>
          <w:p w14:paraId="35EDE1D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420" w:firstLineChars="200"/>
              <w:jc w:val="both"/>
              <w:textAlignment w:val="auto"/>
              <w:rPr>
                <w:rFonts w:hint="eastAsia"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明确核心概念，例如：</w:t>
            </w:r>
          </w:p>
          <w:p w14:paraId="4B7BD1B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420" w:firstLineChars="200"/>
              <w:jc w:val="both"/>
              <w:textAlignment w:val="auto"/>
              <w:rPr>
                <w:rFonts w:hint="eastAsia"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食品实验室：配备精密设备进行食品安全检测分析的场所。</w:t>
            </w:r>
          </w:p>
          <w:p w14:paraId="269DBDA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420" w:firstLineChars="200"/>
              <w:jc w:val="both"/>
              <w:textAlignment w:val="auto"/>
              <w:rPr>
                <w:rFonts w:hint="eastAsia"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数字化管理：通过信息技术对实验室资源、流程及数据的系统性管理。</w:t>
            </w:r>
          </w:p>
          <w:p w14:paraId="1477CF4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420" w:firstLineChars="200"/>
              <w:jc w:val="both"/>
              <w:textAlignment w:val="auto"/>
              <w:rPr>
                <w:rFonts w:hint="eastAsia"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物联网（IoT）：通过感知设备连接物理与虚拟世界的智能服务系统。</w:t>
            </w:r>
          </w:p>
          <w:p w14:paraId="28E6473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422" w:firstLineChars="200"/>
              <w:jc w:val="both"/>
              <w:textAlignment w:val="auto"/>
              <w:rPr>
                <w:rFonts w:hint="eastAsia" w:ascii="宋体" w:hAnsi="宋体"/>
                <w:b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/>
                <w:bCs/>
                <w:color w:val="000000"/>
                <w:szCs w:val="21"/>
              </w:rPr>
              <w:t>4. 管理原则</w:t>
            </w:r>
          </w:p>
          <w:p w14:paraId="0F81E19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420" w:firstLineChars="200"/>
              <w:jc w:val="both"/>
              <w:textAlignment w:val="auto"/>
              <w:rPr>
                <w:rFonts w:hint="eastAsia"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提出五大核心原则</w:t>
            </w:r>
            <w:r>
              <w:rPr>
                <w:rFonts w:hint="eastAsia" w:ascii="宋体" w:hAnsi="宋体"/>
                <w:color w:val="000000"/>
                <w:szCs w:val="21"/>
                <w:lang w:eastAsia="zh-CN"/>
              </w:rPr>
              <w:t>，</w:t>
            </w:r>
            <w:r>
              <w:rPr>
                <w:rFonts w:hint="eastAsia" w:ascii="宋体" w:hAnsi="宋体"/>
                <w:color w:val="000000"/>
                <w:szCs w:val="21"/>
                <w:lang w:val="en-US" w:eastAsia="zh-CN"/>
              </w:rPr>
              <w:t>包括：</w:t>
            </w:r>
            <w:r>
              <w:rPr>
                <w:rFonts w:hint="eastAsia" w:ascii="宋体" w:hAnsi="宋体"/>
                <w:color w:val="000000"/>
                <w:szCs w:val="21"/>
              </w:rPr>
              <w:t>信息安全与隐私保护</w:t>
            </w:r>
            <w:r>
              <w:rPr>
                <w:rFonts w:hint="eastAsia" w:ascii="宋体" w:hAnsi="宋体"/>
                <w:color w:val="000000"/>
                <w:szCs w:val="21"/>
                <w:lang w:eastAsia="zh-CN"/>
              </w:rPr>
              <w:t>、</w:t>
            </w:r>
            <w:r>
              <w:rPr>
                <w:rFonts w:hint="eastAsia" w:ascii="宋体" w:hAnsi="宋体"/>
                <w:color w:val="000000"/>
                <w:szCs w:val="21"/>
              </w:rPr>
              <w:t>合规性</w:t>
            </w:r>
            <w:r>
              <w:rPr>
                <w:rFonts w:hint="eastAsia" w:ascii="宋体" w:hAnsi="宋体"/>
                <w:color w:val="000000"/>
                <w:szCs w:val="21"/>
                <w:lang w:eastAsia="zh-CN"/>
              </w:rPr>
              <w:t>、</w:t>
            </w:r>
            <w:r>
              <w:rPr>
                <w:rFonts w:hint="eastAsia" w:ascii="宋体" w:hAnsi="宋体"/>
                <w:color w:val="000000"/>
                <w:szCs w:val="21"/>
              </w:rPr>
              <w:t>数据驱动</w:t>
            </w:r>
            <w:r>
              <w:rPr>
                <w:rFonts w:hint="eastAsia" w:ascii="宋体" w:hAnsi="宋体"/>
                <w:color w:val="000000"/>
                <w:szCs w:val="21"/>
                <w:lang w:eastAsia="zh-CN"/>
              </w:rPr>
              <w:t>、</w:t>
            </w:r>
            <w:r>
              <w:rPr>
                <w:rFonts w:hint="eastAsia" w:ascii="宋体" w:hAnsi="宋体"/>
                <w:color w:val="000000"/>
                <w:szCs w:val="21"/>
              </w:rPr>
              <w:t>自动化与智能化</w:t>
            </w:r>
            <w:r>
              <w:rPr>
                <w:rFonts w:hint="eastAsia" w:ascii="宋体" w:hAnsi="宋体"/>
                <w:color w:val="000000"/>
                <w:szCs w:val="21"/>
                <w:lang w:eastAsia="zh-CN"/>
              </w:rPr>
              <w:t>、</w:t>
            </w:r>
            <w:r>
              <w:rPr>
                <w:rFonts w:hint="eastAsia" w:ascii="宋体" w:hAnsi="宋体"/>
                <w:color w:val="000000"/>
                <w:szCs w:val="21"/>
              </w:rPr>
              <w:t>灵活性与可扩展性</w:t>
            </w:r>
          </w:p>
          <w:p w14:paraId="4F1F2A0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422" w:firstLineChars="200"/>
              <w:jc w:val="both"/>
              <w:textAlignment w:val="auto"/>
              <w:rPr>
                <w:rFonts w:hint="eastAsia" w:ascii="宋体" w:hAnsi="宋体"/>
                <w:b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/>
                <w:bCs/>
                <w:color w:val="000000"/>
                <w:szCs w:val="21"/>
              </w:rPr>
              <w:t>5. 基础条件</w:t>
            </w:r>
          </w:p>
          <w:p w14:paraId="3577EB3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420" w:firstLineChars="200"/>
              <w:jc w:val="both"/>
              <w:textAlignment w:val="auto"/>
              <w:rPr>
                <w:rFonts w:hint="eastAsia"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规定实验室数字化管理的必要前提：</w:t>
            </w:r>
          </w:p>
          <w:p w14:paraId="3D45EB6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420" w:firstLineChars="200"/>
              <w:jc w:val="both"/>
              <w:textAlignment w:val="auto"/>
              <w:rPr>
                <w:rFonts w:hint="eastAsia"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制度与架构：建立操作规范、信息安全规则及专职管理岗位。</w:t>
            </w:r>
          </w:p>
          <w:p w14:paraId="575BD23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420" w:firstLineChars="200"/>
              <w:jc w:val="both"/>
              <w:textAlignment w:val="auto"/>
              <w:rPr>
                <w:rFonts w:hint="eastAsia" w:ascii="宋体" w:hAnsi="宋体" w:eastAsia="宋体"/>
                <w:color w:val="000000"/>
                <w:szCs w:val="21"/>
                <w:lang w:eastAsia="zh-CN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信息化系统：需具备报告管理、数据审计追踪、跨平台接口（JSON/XML）等功能，</w:t>
            </w:r>
            <w:r>
              <w:rPr>
                <w:rFonts w:hint="eastAsia" w:ascii="宋体" w:hAnsi="宋体"/>
                <w:color w:val="000000"/>
                <w:szCs w:val="21"/>
                <w:lang w:val="en-US" w:eastAsia="zh-CN"/>
              </w:rPr>
              <w:t>并明确</w:t>
            </w:r>
            <w:r>
              <w:rPr>
                <w:rFonts w:hint="eastAsia" w:ascii="宋体" w:hAnsi="宋体"/>
                <w:color w:val="000000"/>
                <w:szCs w:val="21"/>
              </w:rPr>
              <w:t>性能指标</w:t>
            </w:r>
            <w:r>
              <w:rPr>
                <w:rFonts w:hint="eastAsia" w:ascii="宋体" w:hAnsi="宋体"/>
                <w:color w:val="000000"/>
                <w:szCs w:val="21"/>
                <w:lang w:eastAsia="zh-CN"/>
              </w:rPr>
              <w:t>。</w:t>
            </w:r>
          </w:p>
          <w:p w14:paraId="2CDA6B6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420" w:firstLineChars="200"/>
              <w:jc w:val="both"/>
              <w:textAlignment w:val="auto"/>
              <w:rPr>
                <w:rFonts w:hint="eastAsia"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硬件设施：涵盖计算机、网络及物联网设备（如温湿度传感器），要求定期校准，确保数据精准。</w:t>
            </w:r>
          </w:p>
          <w:p w14:paraId="0AF8AB8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420" w:firstLineChars="200"/>
              <w:jc w:val="both"/>
              <w:textAlignment w:val="auto"/>
              <w:rPr>
                <w:rFonts w:hint="eastAsia"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数据资源：包括基础方法数据（检测标准）及运营数据（检测结果、报告模板）。</w:t>
            </w:r>
          </w:p>
          <w:p w14:paraId="5CD4B2F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422" w:firstLineChars="200"/>
              <w:jc w:val="both"/>
              <w:textAlignment w:val="auto"/>
              <w:rPr>
                <w:rFonts w:hint="eastAsia" w:ascii="宋体" w:hAnsi="宋体"/>
                <w:b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/>
                <w:bCs/>
                <w:color w:val="000000"/>
                <w:szCs w:val="21"/>
              </w:rPr>
              <w:t>6</w:t>
            </w:r>
            <w:r>
              <w:rPr>
                <w:rFonts w:hint="eastAsia" w:ascii="宋体" w:hAnsi="宋体"/>
                <w:b/>
                <w:bCs/>
                <w:color w:val="000000"/>
                <w:szCs w:val="21"/>
                <w:lang w:val="en-US" w:eastAsia="zh-CN"/>
              </w:rPr>
              <w:t>-8</w:t>
            </w:r>
            <w:r>
              <w:rPr>
                <w:rFonts w:hint="eastAsia" w:ascii="宋体" w:hAnsi="宋体"/>
                <w:b/>
                <w:bCs/>
                <w:color w:val="000000"/>
                <w:szCs w:val="21"/>
              </w:rPr>
              <w:t>. 分级管理体系</w:t>
            </w:r>
          </w:p>
          <w:p w14:paraId="409A64A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420" w:firstLineChars="200"/>
              <w:jc w:val="both"/>
              <w:textAlignment w:val="auto"/>
              <w:rPr>
                <w:rFonts w:hint="eastAsia"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  <w:lang w:val="en-US" w:eastAsia="zh-CN"/>
              </w:rPr>
              <w:t xml:space="preserve">6. </w:t>
            </w:r>
            <w:r>
              <w:rPr>
                <w:rFonts w:hint="eastAsia" w:ascii="宋体" w:hAnsi="宋体"/>
                <w:color w:val="000000"/>
                <w:szCs w:val="21"/>
              </w:rPr>
              <w:t>C级（基础层）</w:t>
            </w:r>
          </w:p>
          <w:p w14:paraId="77623B3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420" w:firstLineChars="200"/>
              <w:jc w:val="both"/>
              <w:textAlignment w:val="auto"/>
              <w:rPr>
                <w:rFonts w:hint="eastAsia"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核心功能：手动录入人员、设备、物料、样品等静态信息，生成电子档案。</w:t>
            </w:r>
          </w:p>
          <w:p w14:paraId="75F4C96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420" w:firstLineChars="200"/>
              <w:jc w:val="both"/>
              <w:textAlignment w:val="auto"/>
              <w:rPr>
                <w:rFonts w:hint="eastAsia"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关键要求：资质证书手动上传、环境参数定期检查、自动化报告生成。</w:t>
            </w:r>
          </w:p>
          <w:p w14:paraId="61420A7C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420" w:firstLineChars="200"/>
              <w:jc w:val="both"/>
              <w:textAlignment w:val="auto"/>
              <w:rPr>
                <w:rFonts w:hint="eastAsia"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B级（进阶层）</w:t>
            </w:r>
          </w:p>
          <w:p w14:paraId="6664F10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420" w:firstLineChars="200"/>
              <w:jc w:val="both"/>
              <w:textAlignment w:val="auto"/>
              <w:rPr>
                <w:rFonts w:hint="eastAsia"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新增功能：物联网技术应用（设备“数字身份网”）、RFID样品追溯、视频监控、方法标准库动态更新。</w:t>
            </w:r>
          </w:p>
          <w:p w14:paraId="248ED4C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420" w:firstLineChars="200"/>
              <w:jc w:val="both"/>
              <w:textAlignment w:val="auto"/>
              <w:rPr>
                <w:rFonts w:hint="eastAsia"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关键要求：实时监控设备状态、电子化申购流程、检测数据自动采集解析。</w:t>
            </w:r>
          </w:p>
          <w:p w14:paraId="24CE2F45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420" w:firstLineChars="200"/>
              <w:jc w:val="both"/>
              <w:textAlignment w:val="auto"/>
              <w:rPr>
                <w:rFonts w:hint="eastAsia"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A级（智能层）</w:t>
            </w:r>
          </w:p>
          <w:p w14:paraId="5E96DE6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420" w:firstLineChars="200"/>
              <w:jc w:val="both"/>
              <w:textAlignment w:val="auto"/>
              <w:rPr>
                <w:rFonts w:hint="eastAsia"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高级功能：人工智能排班、风险预测模型、洁净区生物安全监控（悬浮粒子、微生物）、全物料线上闭环管理。</w:t>
            </w:r>
          </w:p>
          <w:p w14:paraId="4972507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420" w:firstLineChars="200"/>
              <w:jc w:val="both"/>
              <w:textAlignment w:val="auto"/>
              <w:rPr>
                <w:rFonts w:hint="eastAsia"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关键要求：CMA/CNAS资质系统关联、环境参数智能调控、质量风险评估与自动改进计划生成。</w:t>
            </w:r>
          </w:p>
          <w:p w14:paraId="5A903B2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422" w:firstLineChars="200"/>
              <w:jc w:val="both"/>
              <w:textAlignment w:val="auto"/>
              <w:rPr>
                <w:rFonts w:hint="eastAsia" w:ascii="宋体" w:hAnsi="宋体"/>
                <w:b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/>
                <w:bCs/>
                <w:color w:val="000000"/>
                <w:szCs w:val="21"/>
              </w:rPr>
              <w:t>附录A</w:t>
            </w:r>
          </w:p>
          <w:p w14:paraId="0C4DCAC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420" w:firstLineChars="200"/>
              <w:jc w:val="both"/>
              <w:textAlignment w:val="auto"/>
              <w:rPr>
                <w:rFonts w:hint="eastAsia"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以架构图展示数字化管理体系的层级关系与技术模块。</w:t>
            </w:r>
          </w:p>
          <w:p w14:paraId="3FB2F39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422" w:firstLineChars="200"/>
              <w:jc w:val="both"/>
              <w:textAlignment w:val="auto"/>
              <w:rPr>
                <w:rFonts w:hint="eastAsia" w:ascii="宋体" w:hAnsi="宋体"/>
                <w:b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/>
                <w:bCs/>
                <w:color w:val="000000"/>
                <w:szCs w:val="21"/>
              </w:rPr>
              <w:t>附录B</w:t>
            </w:r>
          </w:p>
          <w:p w14:paraId="2493D74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420" w:firstLineChars="200"/>
              <w:jc w:val="both"/>
              <w:textAlignment w:val="auto"/>
              <w:rPr>
                <w:rFonts w:hint="eastAsia"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通过分级表对比C/B/A三级实验室在人员、设备、样品等领域的差异化要求。</w:t>
            </w:r>
          </w:p>
          <w:p w14:paraId="588D5D2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422" w:firstLineChars="200"/>
              <w:jc w:val="both"/>
              <w:textAlignment w:val="auto"/>
              <w:rPr>
                <w:rFonts w:hint="eastAsia" w:ascii="宋体" w:hAnsi="宋体"/>
                <w:b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/>
                <w:bCs/>
                <w:color w:val="000000"/>
                <w:szCs w:val="21"/>
              </w:rPr>
              <w:t>参考文献</w:t>
            </w:r>
          </w:p>
          <w:p w14:paraId="4C882B4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420" w:firstLineChars="200"/>
              <w:jc w:val="both"/>
              <w:textAlignment w:val="auto"/>
              <w:rPr>
                <w:rFonts w:hint="eastAsia"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列明标准制定依据的国内外文献及行业规范。</w:t>
            </w:r>
          </w:p>
        </w:tc>
      </w:tr>
    </w:tbl>
    <w:p w14:paraId="614DA3EB">
      <w:pPr>
        <w:rPr>
          <w:rFonts w:eastAsia="仿宋_GB2312"/>
          <w:b/>
          <w:color w:val="000000"/>
          <w:kern w:val="0"/>
          <w:sz w:val="32"/>
        </w:rPr>
      </w:pPr>
      <w:r>
        <w:rPr>
          <w:rFonts w:eastAsia="仿宋_GB2312"/>
          <w:b/>
          <w:color w:val="000000"/>
          <w:kern w:val="0"/>
          <w:sz w:val="32"/>
        </w:rPr>
        <w:br w:type="page"/>
      </w:r>
    </w:p>
    <w:tbl>
      <w:tblPr>
        <w:tblStyle w:val="38"/>
        <w:tblpPr w:leftFromText="180" w:rightFromText="180" w:vertAnchor="text" w:horzAnchor="margin" w:tblpXSpec="center" w:tblpY="169"/>
        <w:tblW w:w="9625" w:type="dxa"/>
        <w:tblInd w:w="0" w:type="dxa"/>
        <w:tblBorders>
          <w:top w:val="single" w:color="auto" w:sz="6" w:space="0"/>
          <w:left w:val="single" w:color="auto" w:sz="6" w:space="0"/>
          <w:bottom w:val="single" w:color="auto" w:sz="6" w:space="0"/>
          <w:right w:val="single" w:color="auto" w:sz="6" w:space="0"/>
          <w:insideH w:val="single" w:color="auto" w:sz="6" w:space="0"/>
          <w:insideV w:val="single" w:color="auto" w:sz="6" w:space="0"/>
        </w:tblBorders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1800"/>
        <w:gridCol w:w="6"/>
        <w:gridCol w:w="2354"/>
        <w:gridCol w:w="2814"/>
        <w:gridCol w:w="2651"/>
      </w:tblGrid>
      <w:tr w14:paraId="46C23EBA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cantSplit/>
          <w:trHeight w:val="490" w:hRule="atLeast"/>
        </w:trPr>
        <w:tc>
          <w:tcPr>
            <w:tcW w:w="9625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F70707A">
            <w:pPr>
              <w:rPr>
                <w:rFonts w:ascii="宋体" w:hAnsi="宋体"/>
                <w:b/>
                <w:color w:val="000000"/>
                <w:szCs w:val="21"/>
              </w:rPr>
            </w:pPr>
            <w:r>
              <w:rPr>
                <w:rFonts w:hint="eastAsia" w:ascii="宋体" w:hAnsi="宋体"/>
                <w:b/>
                <w:color w:val="000000"/>
                <w:szCs w:val="21"/>
              </w:rPr>
              <w:t>5  验证情况（基础类标准除外）</w:t>
            </w:r>
          </w:p>
        </w:tc>
      </w:tr>
      <w:tr w14:paraId="5B375041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cantSplit/>
          <w:trHeight w:val="585" w:hRule="atLeast"/>
        </w:trPr>
        <w:tc>
          <w:tcPr>
            <w:tcW w:w="1800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 w14:paraId="5C6F4200">
            <w:pPr>
              <w:ind w:left="141" w:leftChars="67" w:right="48" w:rightChars="23"/>
              <w:rPr>
                <w:rFonts w:ascii="宋体" w:hAnsi="宋体"/>
                <w:color w:val="000000"/>
                <w:szCs w:val="21"/>
              </w:rPr>
            </w:pPr>
            <w:r>
              <w:rPr>
                <w:rFonts w:ascii="宋体" w:hAnsi="宋体"/>
                <w:color w:val="000000"/>
                <w:szCs w:val="21"/>
              </w:rPr>
              <w:t>5.1 验证单位情况</w:t>
            </w:r>
          </w:p>
        </w:tc>
        <w:tc>
          <w:tcPr>
            <w:tcW w:w="236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64D28D3">
            <w:pPr>
              <w:ind w:left="141" w:leftChars="67" w:right="48" w:rightChars="23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ascii="宋体" w:hAnsi="宋体"/>
                <w:color w:val="000000"/>
                <w:szCs w:val="21"/>
              </w:rPr>
              <w:t>验证单位</w:t>
            </w:r>
          </w:p>
        </w:tc>
        <w:tc>
          <w:tcPr>
            <w:tcW w:w="281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DE7FB98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ascii="宋体" w:hAnsi="宋体"/>
                <w:color w:val="000000"/>
                <w:szCs w:val="21"/>
              </w:rPr>
              <w:t>验证人员</w:t>
            </w:r>
          </w:p>
        </w:tc>
        <w:tc>
          <w:tcPr>
            <w:tcW w:w="26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219A4BE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ascii="宋体" w:hAnsi="宋体"/>
                <w:color w:val="000000"/>
                <w:szCs w:val="21"/>
              </w:rPr>
              <w:t>验证时间</w:t>
            </w:r>
          </w:p>
        </w:tc>
      </w:tr>
      <w:tr w14:paraId="1874BBC2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cantSplit/>
          <w:trHeight w:val="435" w:hRule="atLeast"/>
        </w:trPr>
        <w:tc>
          <w:tcPr>
            <w:tcW w:w="1800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5B7DE332">
            <w:pPr>
              <w:ind w:left="141" w:leftChars="67" w:right="48" w:rightChars="23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236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1F1AF15">
            <w:pPr>
              <w:ind w:left="141" w:leftChars="67" w:right="48" w:rightChars="23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281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CAD3EC4">
            <w:pPr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26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D8626CB">
            <w:pPr>
              <w:wordWrap w:val="0"/>
              <w:jc w:val="right"/>
              <w:rPr>
                <w:rFonts w:ascii="宋体" w:hAnsi="宋体"/>
                <w:color w:val="000000"/>
                <w:szCs w:val="21"/>
              </w:rPr>
            </w:pPr>
            <w:r>
              <w:rPr>
                <w:rFonts w:ascii="宋体" w:hAnsi="宋体"/>
                <w:color w:val="000000"/>
                <w:szCs w:val="21"/>
              </w:rPr>
              <w:t xml:space="preserve"> 年    月   日</w:t>
            </w:r>
          </w:p>
        </w:tc>
      </w:tr>
      <w:tr w14:paraId="7F4FAC32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cantSplit/>
          <w:trHeight w:val="435" w:hRule="atLeast"/>
        </w:trPr>
        <w:tc>
          <w:tcPr>
            <w:tcW w:w="1800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11A5E847">
            <w:pPr>
              <w:ind w:left="141" w:leftChars="67" w:right="48" w:rightChars="23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236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C4D7AEE">
            <w:pPr>
              <w:ind w:left="141" w:leftChars="67" w:right="48" w:rightChars="23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281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88404D6">
            <w:pPr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26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15CF198">
            <w:pPr>
              <w:jc w:val="right"/>
              <w:rPr>
                <w:rFonts w:ascii="宋体" w:hAnsi="宋体"/>
                <w:color w:val="000000"/>
                <w:szCs w:val="21"/>
              </w:rPr>
            </w:pPr>
            <w:r>
              <w:rPr>
                <w:rFonts w:ascii="宋体" w:hAnsi="宋体"/>
                <w:color w:val="000000"/>
                <w:szCs w:val="21"/>
              </w:rPr>
              <w:t>年    月   日</w:t>
            </w:r>
          </w:p>
        </w:tc>
      </w:tr>
      <w:tr w14:paraId="392B643E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cantSplit/>
          <w:trHeight w:val="435" w:hRule="atLeast"/>
        </w:trPr>
        <w:tc>
          <w:tcPr>
            <w:tcW w:w="1800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63A05F13">
            <w:pPr>
              <w:ind w:left="141" w:leftChars="67" w:right="48" w:rightChars="23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236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966F13D">
            <w:pPr>
              <w:ind w:left="141" w:leftChars="67" w:right="48" w:rightChars="23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281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1D0F6D7">
            <w:pPr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26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B51100B">
            <w:pPr>
              <w:jc w:val="right"/>
              <w:rPr>
                <w:rFonts w:ascii="宋体" w:hAnsi="宋体"/>
                <w:color w:val="000000"/>
                <w:szCs w:val="21"/>
              </w:rPr>
            </w:pPr>
            <w:r>
              <w:rPr>
                <w:rFonts w:ascii="宋体" w:hAnsi="宋体"/>
                <w:color w:val="000000"/>
                <w:szCs w:val="21"/>
              </w:rPr>
              <w:t>年    月   日</w:t>
            </w:r>
          </w:p>
        </w:tc>
      </w:tr>
      <w:tr w14:paraId="65EAF24A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cantSplit/>
          <w:trHeight w:val="435" w:hRule="atLeast"/>
        </w:trPr>
        <w:tc>
          <w:tcPr>
            <w:tcW w:w="1800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59ACA310">
            <w:pPr>
              <w:ind w:left="141" w:leftChars="67" w:right="48" w:rightChars="23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236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EF05B52">
            <w:pPr>
              <w:ind w:left="141" w:leftChars="67" w:right="48" w:rightChars="23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281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55E8971">
            <w:pPr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26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1F2AE61">
            <w:pPr>
              <w:jc w:val="right"/>
              <w:rPr>
                <w:rFonts w:ascii="宋体" w:hAnsi="宋体"/>
                <w:color w:val="000000"/>
                <w:szCs w:val="21"/>
              </w:rPr>
            </w:pPr>
            <w:r>
              <w:rPr>
                <w:rFonts w:ascii="宋体" w:hAnsi="宋体"/>
                <w:color w:val="000000"/>
                <w:szCs w:val="21"/>
              </w:rPr>
              <w:t>年    月   日</w:t>
            </w:r>
          </w:p>
        </w:tc>
      </w:tr>
      <w:tr w14:paraId="280B59F4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cantSplit/>
          <w:trHeight w:val="1776" w:hRule="atLeast"/>
        </w:trPr>
        <w:tc>
          <w:tcPr>
            <w:tcW w:w="180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9708ACD">
            <w:pPr>
              <w:ind w:left="141" w:leftChars="67" w:right="48" w:rightChars="23"/>
              <w:rPr>
                <w:rFonts w:ascii="宋体" w:hAnsi="宋体"/>
                <w:color w:val="000000"/>
                <w:szCs w:val="21"/>
              </w:rPr>
            </w:pPr>
            <w:r>
              <w:rPr>
                <w:rFonts w:ascii="宋体" w:hAnsi="宋体"/>
                <w:color w:val="000000"/>
                <w:szCs w:val="21"/>
              </w:rPr>
              <w:t>5.2</w:t>
            </w:r>
            <w:r>
              <w:rPr>
                <w:rFonts w:hint="eastAsia" w:ascii="宋体" w:hAnsi="宋体"/>
                <w:color w:val="000000"/>
                <w:szCs w:val="21"/>
              </w:rPr>
              <w:t>试验、</w:t>
            </w:r>
            <w:r>
              <w:rPr>
                <w:rFonts w:ascii="宋体" w:hAnsi="宋体"/>
                <w:color w:val="000000"/>
                <w:szCs w:val="21"/>
              </w:rPr>
              <w:t xml:space="preserve"> 验证</w:t>
            </w:r>
            <w:r>
              <w:rPr>
                <w:rFonts w:hint="eastAsia" w:ascii="宋体" w:hAnsi="宋体"/>
                <w:color w:val="000000"/>
                <w:szCs w:val="21"/>
              </w:rPr>
              <w:t>、试行</w:t>
            </w:r>
            <w:r>
              <w:rPr>
                <w:rFonts w:ascii="宋体" w:hAnsi="宋体"/>
                <w:color w:val="000000"/>
                <w:szCs w:val="21"/>
              </w:rPr>
              <w:t>过程</w:t>
            </w:r>
          </w:p>
        </w:tc>
        <w:tc>
          <w:tcPr>
            <w:tcW w:w="7819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9809E61">
            <w:pPr>
              <w:rPr>
                <w:rFonts w:ascii="宋体" w:hAnsi="宋体"/>
                <w:color w:val="000000"/>
                <w:szCs w:val="21"/>
              </w:rPr>
            </w:pPr>
          </w:p>
        </w:tc>
      </w:tr>
      <w:tr w14:paraId="12A4D341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cantSplit/>
          <w:trHeight w:val="1698" w:hRule="atLeast"/>
        </w:trPr>
        <w:tc>
          <w:tcPr>
            <w:tcW w:w="180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D150719">
            <w:pPr>
              <w:ind w:left="141" w:leftChars="67" w:right="48" w:rightChars="23"/>
              <w:rPr>
                <w:rFonts w:ascii="宋体" w:hAnsi="宋体"/>
                <w:color w:val="000000"/>
                <w:szCs w:val="21"/>
              </w:rPr>
            </w:pPr>
            <w:r>
              <w:rPr>
                <w:rFonts w:ascii="宋体" w:hAnsi="宋体"/>
                <w:color w:val="000000"/>
                <w:szCs w:val="21"/>
              </w:rPr>
              <w:t>5.3 验证数据分析</w:t>
            </w:r>
          </w:p>
        </w:tc>
        <w:tc>
          <w:tcPr>
            <w:tcW w:w="7819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50FDF1B">
            <w:pPr>
              <w:rPr>
                <w:rFonts w:ascii="宋体" w:hAnsi="宋体"/>
                <w:color w:val="000000"/>
                <w:szCs w:val="21"/>
              </w:rPr>
            </w:pPr>
          </w:p>
        </w:tc>
      </w:tr>
      <w:tr w14:paraId="15C31013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cantSplit/>
          <w:trHeight w:val="2119" w:hRule="atLeast"/>
        </w:trPr>
        <w:tc>
          <w:tcPr>
            <w:tcW w:w="180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25D3E0E">
            <w:pPr>
              <w:ind w:left="141" w:leftChars="67" w:right="48" w:rightChars="23"/>
              <w:rPr>
                <w:rFonts w:ascii="宋体" w:hAnsi="宋体"/>
                <w:color w:val="000000"/>
                <w:szCs w:val="21"/>
              </w:rPr>
            </w:pPr>
            <w:r>
              <w:rPr>
                <w:rFonts w:ascii="宋体" w:hAnsi="宋体"/>
                <w:color w:val="000000"/>
                <w:szCs w:val="21"/>
              </w:rPr>
              <w:t xml:space="preserve">5.4 </w:t>
            </w:r>
            <w:r>
              <w:rPr>
                <w:rFonts w:hint="eastAsia" w:ascii="宋体" w:hAnsi="宋体"/>
                <w:color w:val="000000"/>
                <w:szCs w:val="21"/>
              </w:rPr>
              <w:t>试验、</w:t>
            </w:r>
            <w:r>
              <w:rPr>
                <w:rFonts w:ascii="宋体" w:hAnsi="宋体"/>
                <w:color w:val="000000"/>
                <w:szCs w:val="21"/>
              </w:rPr>
              <w:t>验证</w:t>
            </w:r>
            <w:r>
              <w:rPr>
                <w:rFonts w:hint="eastAsia" w:ascii="宋体" w:hAnsi="宋体"/>
                <w:color w:val="000000"/>
                <w:szCs w:val="21"/>
              </w:rPr>
              <w:t>、试行</w:t>
            </w:r>
            <w:r>
              <w:rPr>
                <w:rFonts w:ascii="宋体" w:hAnsi="宋体"/>
                <w:color w:val="000000"/>
                <w:szCs w:val="21"/>
              </w:rPr>
              <w:t>评价</w:t>
            </w:r>
          </w:p>
        </w:tc>
        <w:tc>
          <w:tcPr>
            <w:tcW w:w="7819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313E4A1">
            <w:pPr>
              <w:rPr>
                <w:rFonts w:ascii="宋体" w:hAnsi="宋体"/>
                <w:color w:val="000000"/>
                <w:szCs w:val="21"/>
              </w:rPr>
            </w:pPr>
          </w:p>
        </w:tc>
      </w:tr>
      <w:tr w14:paraId="0D62A7B9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cantSplit/>
          <w:trHeight w:val="2026" w:hRule="atLeast"/>
        </w:trPr>
        <w:tc>
          <w:tcPr>
            <w:tcW w:w="180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D7CCAAA">
            <w:pPr>
              <w:ind w:left="141" w:leftChars="67" w:right="48" w:rightChars="23"/>
              <w:rPr>
                <w:rFonts w:ascii="宋体" w:hAnsi="宋体"/>
                <w:color w:val="000000"/>
                <w:szCs w:val="21"/>
              </w:rPr>
            </w:pPr>
            <w:r>
              <w:rPr>
                <w:rFonts w:ascii="宋体" w:hAnsi="宋体"/>
                <w:color w:val="000000"/>
                <w:szCs w:val="21"/>
              </w:rPr>
              <w:t>5.5 其他应说明的情况</w:t>
            </w:r>
          </w:p>
        </w:tc>
        <w:tc>
          <w:tcPr>
            <w:tcW w:w="7819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B6C5F65">
            <w:pPr>
              <w:rPr>
                <w:rFonts w:ascii="宋体" w:hAnsi="宋体"/>
                <w:color w:val="000000"/>
                <w:szCs w:val="21"/>
              </w:rPr>
            </w:pPr>
          </w:p>
        </w:tc>
      </w:tr>
    </w:tbl>
    <w:p w14:paraId="24CCF6DD">
      <w:pPr>
        <w:rPr>
          <w:rFonts w:eastAsia="仿宋_GB2312"/>
          <w:b/>
          <w:color w:val="000000"/>
          <w:kern w:val="0"/>
          <w:sz w:val="32"/>
        </w:rPr>
      </w:pPr>
    </w:p>
    <w:tbl>
      <w:tblPr>
        <w:tblStyle w:val="38"/>
        <w:tblpPr w:leftFromText="180" w:rightFromText="180" w:vertAnchor="text" w:horzAnchor="margin" w:tblpXSpec="center" w:tblpY="169"/>
        <w:tblW w:w="9625" w:type="dxa"/>
        <w:tblInd w:w="0" w:type="dxa"/>
        <w:tblBorders>
          <w:top w:val="single" w:color="auto" w:sz="6" w:space="0"/>
          <w:left w:val="single" w:color="auto" w:sz="6" w:space="0"/>
          <w:bottom w:val="single" w:color="auto" w:sz="6" w:space="0"/>
          <w:right w:val="single" w:color="auto" w:sz="6" w:space="0"/>
          <w:insideH w:val="single" w:color="auto" w:sz="6" w:space="0"/>
          <w:insideV w:val="single" w:color="auto" w:sz="6" w:space="0"/>
        </w:tblBorders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1794"/>
        <w:gridCol w:w="6"/>
        <w:gridCol w:w="1288"/>
        <w:gridCol w:w="1080"/>
        <w:gridCol w:w="1620"/>
        <w:gridCol w:w="1034"/>
        <w:gridCol w:w="2803"/>
      </w:tblGrid>
      <w:tr w14:paraId="3F728FE8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cantSplit/>
          <w:trHeight w:val="458" w:hRule="atLeast"/>
        </w:trPr>
        <w:tc>
          <w:tcPr>
            <w:tcW w:w="9625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8A04D72">
            <w:pPr>
              <w:rPr>
                <w:rFonts w:ascii="宋体" w:hAnsi="宋体"/>
                <w:b/>
                <w:color w:val="000000"/>
                <w:szCs w:val="21"/>
              </w:rPr>
            </w:pPr>
            <w:r>
              <w:rPr>
                <w:rFonts w:hint="eastAsia" w:ascii="宋体" w:hAnsi="宋体"/>
                <w:b/>
                <w:color w:val="000000"/>
                <w:szCs w:val="21"/>
              </w:rPr>
              <w:t>6  附加说明（可选项）</w:t>
            </w:r>
          </w:p>
        </w:tc>
      </w:tr>
      <w:tr w14:paraId="6E24C0D5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cantSplit/>
          <w:trHeight w:val="1975" w:hRule="atLeast"/>
        </w:trPr>
        <w:tc>
          <w:tcPr>
            <w:tcW w:w="179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840DFD8">
            <w:pPr>
              <w:ind w:left="141" w:leftChars="67" w:right="176" w:rightChars="84"/>
              <w:rPr>
                <w:rFonts w:ascii="宋体" w:hAnsi="宋体"/>
                <w:color w:val="000000"/>
                <w:szCs w:val="21"/>
              </w:rPr>
            </w:pPr>
            <w:r>
              <w:rPr>
                <w:rFonts w:ascii="宋体" w:hAnsi="宋体"/>
                <w:color w:val="000000"/>
                <w:szCs w:val="21"/>
              </w:rPr>
              <w:t>6.1 宣贯标准的建议</w:t>
            </w:r>
          </w:p>
        </w:tc>
        <w:tc>
          <w:tcPr>
            <w:tcW w:w="7831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51D961A">
            <w:pPr>
              <w:rPr>
                <w:rFonts w:ascii="宋体" w:hAnsi="宋体"/>
                <w:color w:val="000000"/>
                <w:szCs w:val="21"/>
              </w:rPr>
            </w:pPr>
          </w:p>
        </w:tc>
      </w:tr>
      <w:tr w14:paraId="1045B69A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cantSplit/>
          <w:trHeight w:val="1838" w:hRule="atLeast"/>
        </w:trPr>
        <w:tc>
          <w:tcPr>
            <w:tcW w:w="179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4714D39">
            <w:pPr>
              <w:ind w:left="141" w:leftChars="67" w:right="176" w:rightChars="84"/>
              <w:rPr>
                <w:rFonts w:ascii="宋体" w:hAnsi="宋体"/>
                <w:color w:val="000000"/>
                <w:szCs w:val="21"/>
              </w:rPr>
            </w:pPr>
            <w:r>
              <w:rPr>
                <w:rFonts w:ascii="宋体" w:hAnsi="宋体"/>
                <w:color w:val="000000"/>
                <w:szCs w:val="21"/>
              </w:rPr>
              <w:t>6.2 修订和废除现行有关标准的建议</w:t>
            </w:r>
          </w:p>
        </w:tc>
        <w:tc>
          <w:tcPr>
            <w:tcW w:w="7831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32F1F08">
            <w:pPr>
              <w:rPr>
                <w:rFonts w:ascii="宋体" w:hAnsi="宋体"/>
                <w:color w:val="000000"/>
                <w:szCs w:val="21"/>
              </w:rPr>
            </w:pPr>
          </w:p>
        </w:tc>
      </w:tr>
      <w:tr w14:paraId="7FFEF260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cantSplit/>
          <w:trHeight w:val="2174" w:hRule="atLeast"/>
        </w:trPr>
        <w:tc>
          <w:tcPr>
            <w:tcW w:w="179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8221B3D">
            <w:pPr>
              <w:ind w:left="141" w:leftChars="67" w:right="176" w:rightChars="84"/>
              <w:rPr>
                <w:rFonts w:ascii="宋体" w:hAnsi="宋体"/>
                <w:color w:val="000000"/>
                <w:szCs w:val="21"/>
              </w:rPr>
            </w:pPr>
            <w:r>
              <w:rPr>
                <w:rFonts w:ascii="宋体" w:hAnsi="宋体"/>
                <w:color w:val="000000"/>
                <w:szCs w:val="21"/>
              </w:rPr>
              <w:t>6.</w:t>
            </w:r>
            <w:r>
              <w:rPr>
                <w:rFonts w:hint="eastAsia" w:ascii="宋体" w:hAnsi="宋体"/>
                <w:color w:val="000000"/>
                <w:szCs w:val="21"/>
              </w:rPr>
              <w:t>3重大分歧意见的处理经过和依据</w:t>
            </w:r>
          </w:p>
        </w:tc>
        <w:tc>
          <w:tcPr>
            <w:tcW w:w="7831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0172095">
            <w:pPr>
              <w:rPr>
                <w:rFonts w:ascii="宋体" w:hAnsi="宋体"/>
                <w:color w:val="000000"/>
                <w:szCs w:val="21"/>
              </w:rPr>
            </w:pPr>
          </w:p>
        </w:tc>
      </w:tr>
      <w:tr w14:paraId="6E0D8B2E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cantSplit/>
          <w:trHeight w:val="2028" w:hRule="atLeast"/>
        </w:trPr>
        <w:tc>
          <w:tcPr>
            <w:tcW w:w="179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17808CF">
            <w:pPr>
              <w:ind w:left="141" w:leftChars="67" w:right="176" w:rightChars="84"/>
              <w:rPr>
                <w:rFonts w:ascii="宋体" w:hAnsi="宋体"/>
                <w:color w:val="000000"/>
                <w:szCs w:val="21"/>
              </w:rPr>
            </w:pPr>
            <w:r>
              <w:rPr>
                <w:rFonts w:ascii="宋体" w:hAnsi="宋体"/>
                <w:color w:val="000000"/>
                <w:szCs w:val="21"/>
              </w:rPr>
              <w:t>6.4 其他需要说明的情况</w:t>
            </w:r>
          </w:p>
        </w:tc>
        <w:tc>
          <w:tcPr>
            <w:tcW w:w="7831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EFC2DCC">
            <w:pPr>
              <w:rPr>
                <w:rFonts w:ascii="宋体" w:hAnsi="宋体"/>
                <w:color w:val="000000"/>
                <w:szCs w:val="21"/>
              </w:rPr>
            </w:pPr>
          </w:p>
        </w:tc>
      </w:tr>
      <w:tr w14:paraId="09DD4966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cantSplit/>
          <w:trHeight w:val="1721" w:hRule="atLeast"/>
        </w:trPr>
        <w:tc>
          <w:tcPr>
            <w:tcW w:w="179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40A977E">
            <w:pPr>
              <w:ind w:left="141" w:leftChars="67" w:right="176" w:rightChars="84"/>
              <w:rPr>
                <w:rFonts w:ascii="宋体" w:hAnsi="宋体"/>
                <w:color w:val="000000"/>
                <w:szCs w:val="21"/>
              </w:rPr>
            </w:pPr>
            <w:r>
              <w:rPr>
                <w:rFonts w:ascii="宋体" w:hAnsi="宋体"/>
                <w:color w:val="000000"/>
                <w:szCs w:val="21"/>
              </w:rPr>
              <w:t>6.5 参考文献</w:t>
            </w:r>
          </w:p>
        </w:tc>
        <w:tc>
          <w:tcPr>
            <w:tcW w:w="7831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678AC5B">
            <w:pPr>
              <w:rPr>
                <w:rFonts w:ascii="宋体" w:hAnsi="宋体"/>
                <w:color w:val="000000"/>
                <w:szCs w:val="21"/>
              </w:rPr>
            </w:pPr>
          </w:p>
        </w:tc>
      </w:tr>
      <w:tr w14:paraId="560E37F5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cantSplit/>
          <w:trHeight w:val="495" w:hRule="atLeast"/>
        </w:trPr>
        <w:tc>
          <w:tcPr>
            <w:tcW w:w="180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ABFF456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ascii="宋体" w:hAnsi="宋体"/>
                <w:color w:val="000000"/>
                <w:szCs w:val="21"/>
              </w:rPr>
              <w:t>联系人</w:t>
            </w:r>
          </w:p>
        </w:tc>
        <w:tc>
          <w:tcPr>
            <w:tcW w:w="12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8A55325">
            <w:pPr>
              <w:jc w:val="center"/>
              <w:rPr>
                <w:rFonts w:hint="eastAsia" w:ascii="宋体" w:hAnsi="宋体" w:eastAsia="宋体"/>
                <w:color w:val="000000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color w:val="000000"/>
                <w:szCs w:val="21"/>
                <w:lang w:val="en-US" w:eastAsia="zh-CN"/>
              </w:rPr>
              <w:t>李文雅</w:t>
            </w:r>
          </w:p>
        </w:tc>
        <w:tc>
          <w:tcPr>
            <w:tcW w:w="10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8FA4A8C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ascii="宋体" w:hAnsi="宋体"/>
                <w:color w:val="000000"/>
                <w:szCs w:val="21"/>
              </w:rPr>
              <w:t>联系电话</w:t>
            </w:r>
          </w:p>
        </w:tc>
        <w:tc>
          <w:tcPr>
            <w:tcW w:w="16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8BDE2A6">
            <w:pPr>
              <w:rPr>
                <w:rFonts w:hint="default" w:ascii="宋体" w:hAnsi="宋体" w:eastAsia="宋体"/>
                <w:color w:val="000000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color w:val="000000"/>
                <w:szCs w:val="21"/>
                <w:lang w:val="en-US" w:eastAsia="zh-CN"/>
              </w:rPr>
              <w:t>13917144790</w:t>
            </w:r>
          </w:p>
        </w:tc>
        <w:tc>
          <w:tcPr>
            <w:tcW w:w="10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94E2DD4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ascii="宋体" w:hAnsi="宋体"/>
                <w:color w:val="000000"/>
                <w:szCs w:val="21"/>
              </w:rPr>
              <w:t>电子邮箱</w:t>
            </w:r>
          </w:p>
        </w:tc>
        <w:tc>
          <w:tcPr>
            <w:tcW w:w="28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C15FA66">
            <w:pPr>
              <w:jc w:val="center"/>
              <w:rPr>
                <w:rFonts w:hint="default" w:ascii="宋体" w:hAnsi="宋体" w:eastAsia="宋体"/>
                <w:color w:val="000000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color w:val="000000"/>
                <w:szCs w:val="21"/>
                <w:lang w:val="en-US" w:eastAsia="zh-CN"/>
              </w:rPr>
              <w:t>liwenya1101@dingtalk.com</w:t>
            </w:r>
          </w:p>
        </w:tc>
      </w:tr>
      <w:tr w14:paraId="04E8B713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cantSplit/>
          <w:trHeight w:val="495" w:hRule="atLeast"/>
        </w:trPr>
        <w:tc>
          <w:tcPr>
            <w:tcW w:w="9625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3351499">
            <w:pPr>
              <w:adjustRightInd w:val="0"/>
              <w:spacing w:before="60" w:line="360" w:lineRule="auto"/>
              <w:ind w:firstLine="441" w:firstLineChars="210"/>
              <w:rPr>
                <w:rFonts w:ascii="宋体" w:hAnsi="宋体"/>
                <w:color w:val="000000"/>
                <w:szCs w:val="21"/>
              </w:rPr>
            </w:pPr>
            <w:r>
              <w:rPr>
                <w:rFonts w:ascii="宋体" w:hAnsi="宋体"/>
                <w:color w:val="000000"/>
                <w:szCs w:val="21"/>
              </w:rPr>
              <w:t>注1：本</w:t>
            </w:r>
            <w:r>
              <w:rPr>
                <w:rFonts w:hint="eastAsia" w:ascii="宋体" w:hAnsi="宋体"/>
                <w:color w:val="000000"/>
                <w:szCs w:val="21"/>
              </w:rPr>
              <w:t>格式</w:t>
            </w:r>
            <w:r>
              <w:rPr>
                <w:rFonts w:ascii="宋体" w:hAnsi="宋体"/>
                <w:color w:val="000000"/>
                <w:szCs w:val="21"/>
              </w:rPr>
              <w:t>的</w:t>
            </w:r>
            <w:r>
              <w:rPr>
                <w:rFonts w:hint="eastAsia" w:ascii="宋体" w:hAnsi="宋体"/>
                <w:color w:val="000000"/>
                <w:szCs w:val="21"/>
              </w:rPr>
              <w:t>通用</w:t>
            </w:r>
            <w:r>
              <w:rPr>
                <w:rFonts w:ascii="宋体" w:hAnsi="宋体"/>
                <w:color w:val="000000"/>
                <w:szCs w:val="21"/>
              </w:rPr>
              <w:t>部分为第1章、第2章、第4章和第6章。</w:t>
            </w:r>
          </w:p>
          <w:p w14:paraId="077B2735">
            <w:pPr>
              <w:adjustRightInd w:val="0"/>
              <w:spacing w:before="60" w:line="360" w:lineRule="auto"/>
              <w:ind w:firstLine="441" w:firstLineChars="210"/>
              <w:rPr>
                <w:rFonts w:ascii="宋体" w:hAnsi="宋体"/>
                <w:color w:val="000000"/>
                <w:szCs w:val="21"/>
              </w:rPr>
            </w:pPr>
            <w:r>
              <w:rPr>
                <w:rFonts w:ascii="宋体" w:hAnsi="宋体"/>
                <w:color w:val="000000"/>
                <w:szCs w:val="21"/>
              </w:rPr>
              <w:t>注2：3.4适用于标准草案送审稿，3.5适用于标准草案报批稿，3.6中</w:t>
            </w:r>
            <w:r>
              <w:rPr>
                <w:rFonts w:hint="eastAsia" w:ascii="宋体" w:hAnsi="宋体"/>
                <w:color w:val="000000"/>
                <w:szCs w:val="21"/>
              </w:rPr>
              <w:t>“</w:t>
            </w:r>
            <w:r>
              <w:rPr>
                <w:rFonts w:ascii="宋体" w:hAnsi="宋体"/>
                <w:color w:val="000000"/>
                <w:szCs w:val="21"/>
              </w:rPr>
              <w:t>预期的管理目标</w:t>
            </w:r>
            <w:r>
              <w:rPr>
                <w:rFonts w:hint="eastAsia" w:ascii="宋体" w:hAnsi="宋体"/>
                <w:color w:val="000000"/>
                <w:szCs w:val="21"/>
              </w:rPr>
              <w:t>”</w:t>
            </w:r>
            <w:r>
              <w:rPr>
                <w:rFonts w:ascii="宋体" w:hAnsi="宋体"/>
                <w:color w:val="000000"/>
                <w:szCs w:val="21"/>
              </w:rPr>
              <w:t>适用于规程类标准，3.6中</w:t>
            </w:r>
            <w:r>
              <w:rPr>
                <w:rFonts w:hint="eastAsia" w:ascii="宋体" w:hAnsi="宋体"/>
                <w:color w:val="000000"/>
                <w:szCs w:val="21"/>
              </w:rPr>
              <w:t>“</w:t>
            </w:r>
            <w:r>
              <w:rPr>
                <w:rFonts w:ascii="宋体" w:hAnsi="宋体"/>
                <w:color w:val="000000"/>
                <w:szCs w:val="21"/>
              </w:rPr>
              <w:t>技术指标</w:t>
            </w:r>
            <w:r>
              <w:rPr>
                <w:rFonts w:hint="eastAsia" w:ascii="宋体" w:hAnsi="宋体"/>
                <w:color w:val="000000"/>
                <w:szCs w:val="21"/>
              </w:rPr>
              <w:t>”</w:t>
            </w:r>
            <w:r>
              <w:rPr>
                <w:rFonts w:ascii="宋体" w:hAnsi="宋体"/>
                <w:color w:val="000000"/>
                <w:szCs w:val="21"/>
              </w:rPr>
              <w:t>适用于方法类标准，第5章适用于方法类标准编制说明的编写。</w:t>
            </w:r>
          </w:p>
          <w:p w14:paraId="33B52ADB">
            <w:pPr>
              <w:adjustRightInd w:val="0"/>
              <w:spacing w:before="60" w:line="360" w:lineRule="auto"/>
              <w:ind w:firstLine="441" w:firstLineChars="210"/>
              <w:rPr>
                <w:rFonts w:ascii="宋体" w:hAnsi="宋体"/>
                <w:color w:val="000000"/>
                <w:szCs w:val="21"/>
              </w:rPr>
            </w:pPr>
            <w:r>
              <w:rPr>
                <w:rFonts w:ascii="宋体" w:hAnsi="宋体"/>
                <w:color w:val="000000"/>
                <w:szCs w:val="21"/>
              </w:rPr>
              <w:t>注3：3.1和第6章为可选项，其余为必填项。</w:t>
            </w:r>
          </w:p>
        </w:tc>
      </w:tr>
      <w:tr w14:paraId="0AB43AAD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cantSplit/>
          <w:trHeight w:val="495" w:hRule="atLeast"/>
        </w:trPr>
        <w:tc>
          <w:tcPr>
            <w:tcW w:w="9625" w:type="dxa"/>
            <w:gridSpan w:val="7"/>
            <w:tcBorders>
              <w:top w:val="single" w:color="auto" w:sz="4" w:space="0"/>
              <w:left w:val="nil"/>
              <w:bottom w:val="nil"/>
              <w:right w:val="nil"/>
            </w:tcBorders>
            <w:vAlign w:val="center"/>
          </w:tcPr>
          <w:p w14:paraId="5C181290">
            <w:pPr>
              <w:wordWrap w:val="0"/>
              <w:ind w:right="480"/>
              <w:jc w:val="right"/>
              <w:rPr>
                <w:rFonts w:ascii="宋体" w:hAnsi="宋体"/>
                <w:color w:val="000000"/>
                <w:szCs w:val="21"/>
              </w:rPr>
            </w:pPr>
            <w:r>
              <w:rPr>
                <w:rFonts w:ascii="宋体" w:hAnsi="宋体"/>
                <w:color w:val="000000"/>
                <w:szCs w:val="21"/>
              </w:rPr>
              <w:t>编写日期：    年    月    日</w:t>
            </w:r>
          </w:p>
        </w:tc>
      </w:tr>
    </w:tbl>
    <w:p w14:paraId="45B922D4">
      <w:pPr>
        <w:rPr>
          <w:rFonts w:eastAsia="方正仿宋简体"/>
          <w:b/>
          <w:snapToGrid w:val="0"/>
          <w:color w:val="000000"/>
          <w:kern w:val="0"/>
          <w:sz w:val="32"/>
          <w:szCs w:val="32"/>
        </w:rPr>
      </w:pPr>
    </w:p>
    <w:sectPr>
      <w:headerReference r:id="rId3" w:type="default"/>
      <w:footerReference r:id="rId4" w:type="default"/>
      <w:footerReference r:id="rId5" w:type="even"/>
      <w:pgSz w:w="11907" w:h="16840"/>
      <w:pgMar w:top="1758" w:right="1418" w:bottom="1758" w:left="1418" w:header="851" w:footer="1134" w:gutter="0"/>
      <w:pgNumType w:start="1"/>
      <w:cols w:space="720" w:num="1"/>
      <w:titlePg/>
      <w:docGrid w:linePitch="291" w:charSpace="-3787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ˎ̥">
    <w:altName w:val="Times New Roman"/>
    <w:panose1 w:val="00000000000000000000"/>
    <w:charset w:val="00"/>
    <w:family w:val="auto"/>
    <w:pitch w:val="default"/>
    <w:sig w:usb0="00000000" w:usb1="00000000" w:usb2="00000000" w:usb3="00000000" w:csb0="00040001" w:csb1="00000000"/>
  </w:font>
  <w:font w:name="Verdana">
    <w:panose1 w:val="020B0604030504040204"/>
    <w:charset w:val="00"/>
    <w:family w:val="swiss"/>
    <w:pitch w:val="default"/>
    <w:sig w:usb0="A00006FF" w:usb1="4000205B" w:usb2="00000010" w:usb3="00000000" w:csb0="2000019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  <w:embedRegular r:id="rId1" w:fontKey="{24A7483E-1D16-4DF3-AC2F-562509BE11C5}"/>
  </w:font>
  <w:font w:name="方正仿宋简体">
    <w:panose1 w:val="02000000000000000000"/>
    <w:charset w:val="86"/>
    <w:family w:val="auto"/>
    <w:pitch w:val="default"/>
    <w:sig w:usb0="A00002BF" w:usb1="184F6CFA" w:usb2="00000012" w:usb3="00000000" w:csb0="00040001" w:csb1="00000000"/>
    <w:embedRegular r:id="rId2" w:fontKey="{ACFF4846-E618-4561-9D83-6A2A731E0317}"/>
  </w:font>
  <w:font w:name="方正小标宋简体">
    <w:panose1 w:val="02000000000000000000"/>
    <w:charset w:val="86"/>
    <w:family w:val="auto"/>
    <w:pitch w:val="default"/>
    <w:sig w:usb0="00000001" w:usb1="08000000" w:usb2="00000000" w:usb3="00000000" w:csb0="00040000" w:csb1="00000000"/>
    <w:embedRegular r:id="rId3" w:fontKey="{0D77C349-715A-44EA-8042-046C1684585B}"/>
  </w:font>
  <w:font w:name="Symbol">
    <w:panose1 w:val="05050102010706020507"/>
    <w:charset w:val="00"/>
    <w:family w:val="auto"/>
    <w:pitch w:val="default"/>
    <w:sig w:usb0="00000000" w:usb1="00000000" w:usb2="00000000" w:usb3="00000000" w:csb0="80000000" w:csb1="00000000"/>
  </w:font>
  <w:font w:name="Courier New">
    <w:panose1 w:val="02070309020205020404"/>
    <w:charset w:val="00"/>
    <w:family w:val="auto"/>
    <w:pitch w:val="default"/>
    <w:sig w:usb0="E0002EFF" w:usb1="C0007843" w:usb2="00000009" w:usb3="00000000" w:csb0="400001FF" w:csb1="FFFF0000"/>
  </w:font>
  <w:font w:name="Wingdings">
    <w:panose1 w:val="05000000000000000000"/>
    <w:charset w:val="00"/>
    <w:family w:val="auto"/>
    <w:pitch w:val="default"/>
    <w:sig w:usb0="00000000" w:usb1="00000000" w:usb2="00000000" w:usb3="00000000" w:csb0="80000000" w:csb1="00000000"/>
  </w:font>
  <w:font w:name="Segoe UI">
    <w:panose1 w:val="020B0502040204020203"/>
    <w:charset w:val="00"/>
    <w:family w:val="auto"/>
    <w:pitch w:val="default"/>
    <w:sig w:usb0="E4002EFF" w:usb1="C000E47F" w:usb2="00000009" w:usb3="00000000" w:csb0="2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6401E10">
    <w:pPr>
      <w:pStyle w:val="29"/>
      <w:jc w:val="center"/>
      <w:rPr>
        <w:sz w:val="24"/>
        <w:szCs w:val="24"/>
      </w:rPr>
    </w:pPr>
    <w:r>
      <w:rPr>
        <w:rFonts w:hint="eastAsia"/>
        <w:sz w:val="24"/>
        <w:szCs w:val="24"/>
      </w:rPr>
      <w:t>-</w:t>
    </w:r>
    <w:r>
      <w:rPr>
        <w:sz w:val="24"/>
        <w:szCs w:val="24"/>
      </w:rPr>
      <w:fldChar w:fldCharType="begin"/>
    </w:r>
    <w:r>
      <w:rPr>
        <w:sz w:val="24"/>
        <w:szCs w:val="24"/>
      </w:rPr>
      <w:instrText xml:space="preserve"> PAGE   \* MERGEFORMAT </w:instrText>
    </w:r>
    <w:r>
      <w:rPr>
        <w:sz w:val="24"/>
        <w:szCs w:val="24"/>
      </w:rPr>
      <w:fldChar w:fldCharType="separate"/>
    </w:r>
    <w:r>
      <w:rPr>
        <w:sz w:val="24"/>
        <w:szCs w:val="24"/>
        <w:lang w:val="zh-CN"/>
      </w:rPr>
      <w:t>6</w:t>
    </w:r>
    <w:r>
      <w:rPr>
        <w:sz w:val="24"/>
        <w:szCs w:val="24"/>
      </w:rPr>
      <w:fldChar w:fldCharType="end"/>
    </w:r>
    <w:r>
      <w:rPr>
        <w:rFonts w:hint="eastAsia"/>
        <w:sz w:val="24"/>
        <w:szCs w:val="24"/>
      </w:rPr>
      <w:t>-</w:t>
    </w:r>
  </w:p>
  <w:p w14:paraId="4C891CE7">
    <w:pPr>
      <w:pStyle w:val="2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193A6A4">
    <w:pPr>
      <w:pStyle w:val="29"/>
      <w:framePr w:wrap="around" w:vAnchor="text" w:hAnchor="margin" w:xAlign="center" w:y="1"/>
      <w:rPr>
        <w:rStyle w:val="42"/>
      </w:rPr>
    </w:pPr>
    <w:r>
      <w:fldChar w:fldCharType="begin"/>
    </w:r>
    <w:r>
      <w:rPr>
        <w:rStyle w:val="42"/>
      </w:rPr>
      <w:instrText xml:space="preserve">PAGE  </w:instrText>
    </w:r>
    <w:r>
      <w:fldChar w:fldCharType="end"/>
    </w:r>
  </w:p>
  <w:p w14:paraId="64AE1133">
    <w:pPr>
      <w:pStyle w:val="80"/>
      <w:ind w:right="360"/>
      <w:rPr>
        <w:rStyle w:val="42"/>
      </w:rPr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DB1D53B">
    <w:pPr>
      <w:pStyle w:val="30"/>
      <w:pBdr>
        <w:bottom w:val="none" w:color="auto" w:sz="0" w:space="0"/>
      </w:pBd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8232E2FB"/>
    <w:multiLevelType w:val="singleLevel"/>
    <w:tmpl w:val="8232E2FB"/>
    <w:lvl w:ilvl="0" w:tentative="0">
      <w:start w:val="7"/>
      <w:numFmt w:val="decimal"/>
      <w:suff w:val="space"/>
      <w:lvlText w:val="%1."/>
      <w:lvlJc w:val="left"/>
    </w:lvl>
  </w:abstractNum>
  <w:abstractNum w:abstractNumId="1">
    <w:nsid w:val="FE102495"/>
    <w:multiLevelType w:val="singleLevel"/>
    <w:tmpl w:val="FE102495"/>
    <w:lvl w:ilvl="0" w:tentative="0">
      <w:start w:val="8"/>
      <w:numFmt w:val="decimal"/>
      <w:suff w:val="space"/>
      <w:lvlText w:val="%1."/>
      <w:lvlJc w:val="left"/>
    </w:lvl>
  </w:abstractNum>
  <w:abstractNum w:abstractNumId="2">
    <w:nsid w:val="040A15CD"/>
    <w:multiLevelType w:val="multilevel"/>
    <w:tmpl w:val="040A15CD"/>
    <w:lvl w:ilvl="0" w:tentative="0">
      <w:start w:val="1"/>
      <w:numFmt w:val="none"/>
      <w:suff w:val="nothing"/>
      <w:lvlText w:val="　"/>
      <w:lvlJc w:val="left"/>
      <w:pPr>
        <w:ind w:left="0" w:firstLine="0"/>
      </w:pPr>
      <w:rPr>
        <w:rFonts w:hint="eastAsia" w:ascii="黑体" w:hAnsi="Times New Roman" w:eastAsia="黑体"/>
        <w:b w:val="0"/>
        <w:i w:val="0"/>
        <w:sz w:val="21"/>
      </w:rPr>
    </w:lvl>
    <w:lvl w:ilvl="1" w:tentative="0">
      <w:start w:val="1"/>
      <w:numFmt w:val="decimal"/>
      <w:isLgl/>
      <w:suff w:val="nothing"/>
      <w:lvlText w:val="%2　"/>
      <w:lvlJc w:val="left"/>
      <w:pPr>
        <w:ind w:left="0" w:firstLine="0"/>
      </w:pPr>
      <w:rPr>
        <w:rFonts w:hint="eastAsia" w:ascii="黑体" w:hAnsi="Times New Roman" w:eastAsia="黑体"/>
        <w:b w:val="0"/>
        <w:i w:val="0"/>
        <w:snapToGrid/>
        <w:spacing w:val="0"/>
        <w:w w:val="100"/>
        <w:kern w:val="21"/>
        <w:sz w:val="21"/>
      </w:rPr>
    </w:lvl>
    <w:lvl w:ilvl="2" w:tentative="0">
      <w:start w:val="1"/>
      <w:numFmt w:val="decimal"/>
      <w:suff w:val="nothing"/>
      <w:lvlText w:val="%1%2.%3　"/>
      <w:lvlJc w:val="left"/>
      <w:pPr>
        <w:ind w:left="0" w:firstLine="0"/>
      </w:pPr>
      <w:rPr>
        <w:rFonts w:hint="eastAsia" w:ascii="黑体" w:hAnsi="Times New Roman" w:eastAsia="黑体"/>
        <w:b w:val="0"/>
        <w:i w:val="0"/>
        <w:sz w:val="21"/>
      </w:rPr>
    </w:lvl>
    <w:lvl w:ilvl="3" w:tentative="0">
      <w:start w:val="1"/>
      <w:numFmt w:val="decimal"/>
      <w:pStyle w:val="67"/>
      <w:suff w:val="nothing"/>
      <w:lvlText w:val="%1%2.%3.%4　"/>
      <w:lvlJc w:val="left"/>
      <w:pPr>
        <w:ind w:left="0" w:firstLine="0"/>
      </w:pPr>
      <w:rPr>
        <w:rFonts w:hint="eastAsia" w:ascii="黑体" w:hAnsi="Times New Roman" w:eastAsia="黑体"/>
        <w:b w:val="0"/>
        <w:i w:val="0"/>
        <w:sz w:val="21"/>
      </w:rPr>
    </w:lvl>
    <w:lvl w:ilvl="4" w:tentative="0">
      <w:start w:val="1"/>
      <w:numFmt w:val="decimal"/>
      <w:pStyle w:val="108"/>
      <w:suff w:val="nothing"/>
      <w:lvlText w:val="%1%2.%3.%4.%5　"/>
      <w:lvlJc w:val="left"/>
      <w:pPr>
        <w:ind w:left="0" w:firstLine="0"/>
      </w:pPr>
      <w:rPr>
        <w:rFonts w:hint="eastAsia" w:ascii="黑体" w:hAnsi="Times New Roman" w:eastAsia="黑体"/>
        <w:b w:val="0"/>
        <w:i w:val="0"/>
        <w:sz w:val="21"/>
      </w:rPr>
    </w:lvl>
    <w:lvl w:ilvl="5" w:tentative="0">
      <w:start w:val="1"/>
      <w:numFmt w:val="decimal"/>
      <w:pStyle w:val="111"/>
      <w:suff w:val="nothing"/>
      <w:lvlText w:val="%1%2.%3.%4.%5.%6　"/>
      <w:lvlJc w:val="left"/>
      <w:pPr>
        <w:ind w:left="0" w:firstLine="0"/>
      </w:pPr>
      <w:rPr>
        <w:rFonts w:hint="eastAsia" w:ascii="黑体" w:hAnsi="Times New Roman" w:eastAsia="黑体"/>
        <w:b w:val="0"/>
        <w:i w:val="0"/>
        <w:sz w:val="21"/>
      </w:rPr>
    </w:lvl>
    <w:lvl w:ilvl="6" w:tentative="0">
      <w:start w:val="1"/>
      <w:numFmt w:val="decimal"/>
      <w:pStyle w:val="117"/>
      <w:suff w:val="nothing"/>
      <w:lvlText w:val="%1%2.%3.%4.%5.%6.%7　"/>
      <w:lvlJc w:val="left"/>
      <w:pPr>
        <w:ind w:left="0" w:firstLine="0"/>
      </w:pPr>
      <w:rPr>
        <w:rFonts w:hint="eastAsia" w:ascii="黑体" w:hAnsi="Times New Roman" w:eastAsia="黑体"/>
        <w:b w:val="0"/>
        <w:i w:val="0"/>
        <w:sz w:val="21"/>
      </w:rPr>
    </w:lvl>
    <w:lvl w:ilvl="7" w:tentative="0">
      <w:start w:val="1"/>
      <w:numFmt w:val="decimal"/>
      <w:lvlText w:val="%1.%2.%3.%4.%5.%6.%7.%8"/>
      <w:lvlJc w:val="left"/>
      <w:pPr>
        <w:tabs>
          <w:tab w:val="left" w:pos="4394"/>
        </w:tabs>
        <w:ind w:left="4394" w:hanging="1418"/>
      </w:pPr>
      <w:rPr>
        <w:rFonts w:hint="eastAsia"/>
      </w:rPr>
    </w:lvl>
    <w:lvl w:ilvl="8" w:tentative="0">
      <w:start w:val="1"/>
      <w:numFmt w:val="decimal"/>
      <w:lvlText w:val="%1.%2.%3.%4.%5.%6.%7.%8.%9"/>
      <w:lvlJc w:val="left"/>
      <w:pPr>
        <w:tabs>
          <w:tab w:val="left" w:pos="5102"/>
        </w:tabs>
        <w:ind w:left="5102" w:hanging="1700"/>
      </w:pPr>
      <w:rPr>
        <w:rFonts w:hint="eastAsia"/>
      </w:rPr>
    </w:lvl>
  </w:abstractNum>
  <w:abstractNum w:abstractNumId="3">
    <w:nsid w:val="0AE367E9"/>
    <w:multiLevelType w:val="multilevel"/>
    <w:tmpl w:val="0AE367E9"/>
    <w:lvl w:ilvl="0" w:tentative="0">
      <w:start w:val="1"/>
      <w:numFmt w:val="none"/>
      <w:pStyle w:val="66"/>
      <w:lvlText w:val="%1示例"/>
      <w:lvlJc w:val="left"/>
      <w:pPr>
        <w:tabs>
          <w:tab w:val="left" w:pos="1120"/>
        </w:tabs>
        <w:ind w:left="0" w:firstLine="400"/>
      </w:pPr>
      <w:rPr>
        <w:rFonts w:hint="eastAsia" w:ascii="宋体" w:eastAsia="宋体"/>
        <w:b w:val="0"/>
        <w:i w:val="0"/>
        <w:sz w:val="18"/>
      </w:rPr>
    </w:lvl>
    <w:lvl w:ilvl="1" w:tentative="0">
      <w:start w:val="1"/>
      <w:numFmt w:val="lowerLetter"/>
      <w:lvlText w:val="%2)"/>
      <w:lvlJc w:val="left"/>
      <w:pPr>
        <w:tabs>
          <w:tab w:val="left" w:pos="840"/>
        </w:tabs>
        <w:ind w:left="840" w:hanging="420"/>
      </w:pPr>
    </w:lvl>
    <w:lvl w:ilvl="2" w:tentative="0">
      <w:start w:val="1"/>
      <w:numFmt w:val="lowerRoman"/>
      <w:lvlText w:val="%3."/>
      <w:lvlJc w:val="right"/>
      <w:pPr>
        <w:tabs>
          <w:tab w:val="left" w:pos="1260"/>
        </w:tabs>
        <w:ind w:left="1260" w:hanging="420"/>
      </w:pPr>
    </w:lvl>
    <w:lvl w:ilvl="3" w:tentative="0">
      <w:start w:val="1"/>
      <w:numFmt w:val="decimal"/>
      <w:lvlText w:val="%4."/>
      <w:lvlJc w:val="left"/>
      <w:pPr>
        <w:tabs>
          <w:tab w:val="left" w:pos="1680"/>
        </w:tabs>
        <w:ind w:left="1680" w:hanging="420"/>
      </w:pPr>
    </w:lvl>
    <w:lvl w:ilvl="4" w:tentative="0">
      <w:start w:val="1"/>
      <w:numFmt w:val="lowerLetter"/>
      <w:lvlText w:val="%5)"/>
      <w:lvlJc w:val="left"/>
      <w:pPr>
        <w:tabs>
          <w:tab w:val="left" w:pos="2100"/>
        </w:tabs>
        <w:ind w:left="2100" w:hanging="420"/>
      </w:pPr>
    </w:lvl>
    <w:lvl w:ilvl="5" w:tentative="0">
      <w:start w:val="1"/>
      <w:numFmt w:val="lowerRoman"/>
      <w:lvlText w:val="%6."/>
      <w:lvlJc w:val="right"/>
      <w:pPr>
        <w:tabs>
          <w:tab w:val="left" w:pos="2520"/>
        </w:tabs>
        <w:ind w:left="2520" w:hanging="420"/>
      </w:pPr>
    </w:lvl>
    <w:lvl w:ilvl="6" w:tentative="0">
      <w:start w:val="1"/>
      <w:numFmt w:val="decimal"/>
      <w:lvlText w:val="%7."/>
      <w:lvlJc w:val="left"/>
      <w:pPr>
        <w:tabs>
          <w:tab w:val="left" w:pos="2940"/>
        </w:tabs>
        <w:ind w:left="2940" w:hanging="420"/>
      </w:pPr>
    </w:lvl>
    <w:lvl w:ilvl="7" w:tentative="0">
      <w:start w:val="1"/>
      <w:numFmt w:val="lowerLetter"/>
      <w:lvlText w:val="%8)"/>
      <w:lvlJc w:val="left"/>
      <w:pPr>
        <w:tabs>
          <w:tab w:val="left" w:pos="3360"/>
        </w:tabs>
        <w:ind w:left="3360" w:hanging="420"/>
      </w:pPr>
    </w:lvl>
    <w:lvl w:ilvl="8" w:tentative="0">
      <w:start w:val="1"/>
      <w:numFmt w:val="lowerRoman"/>
      <w:lvlText w:val="%9."/>
      <w:lvlJc w:val="right"/>
      <w:pPr>
        <w:tabs>
          <w:tab w:val="left" w:pos="3780"/>
        </w:tabs>
        <w:ind w:left="3780" w:hanging="420"/>
      </w:pPr>
    </w:lvl>
  </w:abstractNum>
  <w:abstractNum w:abstractNumId="4">
    <w:nsid w:val="407E65F9"/>
    <w:multiLevelType w:val="multilevel"/>
    <w:tmpl w:val="407E65F9"/>
    <w:lvl w:ilvl="0" w:tentative="0">
      <w:start w:val="1"/>
      <w:numFmt w:val="none"/>
      <w:pStyle w:val="105"/>
      <w:lvlText w:val="%1·　"/>
      <w:lvlJc w:val="left"/>
      <w:pPr>
        <w:tabs>
          <w:tab w:val="left" w:pos="1140"/>
        </w:tabs>
        <w:ind w:left="737" w:hanging="317"/>
      </w:pPr>
      <w:rPr>
        <w:rFonts w:hint="eastAsia" w:ascii="宋体" w:hAnsi="Times New Roman" w:eastAsia="宋体"/>
        <w:b w:val="0"/>
        <w:i w:val="0"/>
        <w:sz w:val="21"/>
      </w:rPr>
    </w:lvl>
    <w:lvl w:ilvl="1" w:tentative="0">
      <w:start w:val="1"/>
      <w:numFmt w:val="bullet"/>
      <w:lvlText w:val=""/>
      <w:lvlJc w:val="left"/>
      <w:pPr>
        <w:tabs>
          <w:tab w:val="left" w:pos="840"/>
        </w:tabs>
        <w:ind w:left="840" w:hanging="420"/>
      </w:pPr>
      <w:rPr>
        <w:rFonts w:hint="default" w:ascii="Wingdings" w:hAnsi="Wingdings"/>
      </w:rPr>
    </w:lvl>
    <w:lvl w:ilvl="2" w:tentative="0">
      <w:start w:val="1"/>
      <w:numFmt w:val="bullet"/>
      <w:lvlText w:val=""/>
      <w:lvlJc w:val="left"/>
      <w:pPr>
        <w:tabs>
          <w:tab w:val="left" w:pos="1260"/>
        </w:tabs>
        <w:ind w:left="1260" w:hanging="420"/>
      </w:pPr>
      <w:rPr>
        <w:rFonts w:hint="default" w:ascii="Wingdings" w:hAnsi="Wingdings"/>
      </w:rPr>
    </w:lvl>
    <w:lvl w:ilvl="3" w:tentative="0">
      <w:start w:val="1"/>
      <w:numFmt w:val="bullet"/>
      <w:lvlText w:val=""/>
      <w:lvlJc w:val="left"/>
      <w:pPr>
        <w:tabs>
          <w:tab w:val="left" w:pos="1680"/>
        </w:tabs>
        <w:ind w:left="1680" w:hanging="420"/>
      </w:pPr>
      <w:rPr>
        <w:rFonts w:hint="default" w:ascii="Wingdings" w:hAnsi="Wingdings"/>
      </w:rPr>
    </w:lvl>
    <w:lvl w:ilvl="4" w:tentative="0">
      <w:start w:val="1"/>
      <w:numFmt w:val="bullet"/>
      <w:lvlText w:val=""/>
      <w:lvlJc w:val="left"/>
      <w:pPr>
        <w:tabs>
          <w:tab w:val="left" w:pos="2100"/>
        </w:tabs>
        <w:ind w:left="2100" w:hanging="420"/>
      </w:pPr>
      <w:rPr>
        <w:rFonts w:hint="default" w:ascii="Wingdings" w:hAnsi="Wingdings"/>
      </w:rPr>
    </w:lvl>
    <w:lvl w:ilvl="5" w:tentative="0">
      <w:start w:val="1"/>
      <w:numFmt w:val="bullet"/>
      <w:lvlText w:val=""/>
      <w:lvlJc w:val="left"/>
      <w:pPr>
        <w:tabs>
          <w:tab w:val="left" w:pos="2520"/>
        </w:tabs>
        <w:ind w:left="2520" w:hanging="420"/>
      </w:pPr>
      <w:rPr>
        <w:rFonts w:hint="default" w:ascii="Wingdings" w:hAnsi="Wingdings"/>
      </w:rPr>
    </w:lvl>
    <w:lvl w:ilvl="6" w:tentative="0">
      <w:start w:val="1"/>
      <w:numFmt w:val="bullet"/>
      <w:lvlText w:val=""/>
      <w:lvlJc w:val="left"/>
      <w:pPr>
        <w:tabs>
          <w:tab w:val="left" w:pos="2940"/>
        </w:tabs>
        <w:ind w:left="2940" w:hanging="420"/>
      </w:pPr>
      <w:rPr>
        <w:rFonts w:hint="default" w:ascii="Wingdings" w:hAnsi="Wingdings"/>
      </w:rPr>
    </w:lvl>
    <w:lvl w:ilvl="7" w:tentative="0">
      <w:start w:val="1"/>
      <w:numFmt w:val="bullet"/>
      <w:lvlText w:val=""/>
      <w:lvlJc w:val="left"/>
      <w:pPr>
        <w:tabs>
          <w:tab w:val="left" w:pos="3360"/>
        </w:tabs>
        <w:ind w:left="3360" w:hanging="420"/>
      </w:pPr>
      <w:rPr>
        <w:rFonts w:hint="default" w:ascii="Wingdings" w:hAnsi="Wingdings"/>
      </w:rPr>
    </w:lvl>
    <w:lvl w:ilvl="8" w:tentative="0">
      <w:start w:val="1"/>
      <w:numFmt w:val="bullet"/>
      <w:lvlText w:val=""/>
      <w:lvlJc w:val="left"/>
      <w:pPr>
        <w:tabs>
          <w:tab w:val="left" w:pos="3780"/>
        </w:tabs>
        <w:ind w:left="3780" w:hanging="420"/>
      </w:pPr>
      <w:rPr>
        <w:rFonts w:hint="default" w:ascii="Wingdings" w:hAnsi="Wingdings"/>
      </w:rPr>
    </w:lvl>
  </w:abstractNum>
  <w:abstractNum w:abstractNumId="5">
    <w:nsid w:val="496E4D7B"/>
    <w:multiLevelType w:val="multilevel"/>
    <w:tmpl w:val="496E4D7B"/>
    <w:lvl w:ilvl="0" w:tentative="0">
      <w:start w:val="1"/>
      <w:numFmt w:val="none"/>
      <w:pStyle w:val="122"/>
      <w:lvlText w:val="%1注"/>
      <w:lvlJc w:val="left"/>
      <w:pPr>
        <w:tabs>
          <w:tab w:val="left" w:pos="900"/>
        </w:tabs>
        <w:ind w:left="900" w:hanging="500"/>
      </w:pPr>
      <w:rPr>
        <w:rFonts w:hint="eastAsia" w:ascii="宋体" w:hAnsi="Times New Roman" w:eastAsia="宋体"/>
        <w:b w:val="0"/>
        <w:i w:val="0"/>
        <w:sz w:val="18"/>
      </w:rPr>
    </w:lvl>
    <w:lvl w:ilvl="1" w:tentative="0">
      <w:start w:val="1"/>
      <w:numFmt w:val="lowerLetter"/>
      <w:lvlText w:val="%2)"/>
      <w:lvlJc w:val="left"/>
      <w:pPr>
        <w:tabs>
          <w:tab w:val="left" w:pos="840"/>
        </w:tabs>
        <w:ind w:left="840" w:hanging="420"/>
      </w:pPr>
    </w:lvl>
    <w:lvl w:ilvl="2" w:tentative="0">
      <w:start w:val="1"/>
      <w:numFmt w:val="lowerRoman"/>
      <w:lvlText w:val="%3."/>
      <w:lvlJc w:val="right"/>
      <w:pPr>
        <w:tabs>
          <w:tab w:val="left" w:pos="1260"/>
        </w:tabs>
        <w:ind w:left="1260" w:hanging="420"/>
      </w:pPr>
    </w:lvl>
    <w:lvl w:ilvl="3" w:tentative="0">
      <w:start w:val="1"/>
      <w:numFmt w:val="decimal"/>
      <w:lvlText w:val="%4."/>
      <w:lvlJc w:val="left"/>
      <w:pPr>
        <w:tabs>
          <w:tab w:val="left" w:pos="1680"/>
        </w:tabs>
        <w:ind w:left="1680" w:hanging="420"/>
      </w:pPr>
    </w:lvl>
    <w:lvl w:ilvl="4" w:tentative="0">
      <w:start w:val="1"/>
      <w:numFmt w:val="lowerLetter"/>
      <w:lvlText w:val="%5)"/>
      <w:lvlJc w:val="left"/>
      <w:pPr>
        <w:tabs>
          <w:tab w:val="left" w:pos="2100"/>
        </w:tabs>
        <w:ind w:left="2100" w:hanging="420"/>
      </w:pPr>
    </w:lvl>
    <w:lvl w:ilvl="5" w:tentative="0">
      <w:start w:val="1"/>
      <w:numFmt w:val="lowerRoman"/>
      <w:lvlText w:val="%6."/>
      <w:lvlJc w:val="right"/>
      <w:pPr>
        <w:tabs>
          <w:tab w:val="left" w:pos="2520"/>
        </w:tabs>
        <w:ind w:left="2520" w:hanging="420"/>
      </w:pPr>
    </w:lvl>
    <w:lvl w:ilvl="6" w:tentative="0">
      <w:start w:val="1"/>
      <w:numFmt w:val="decimal"/>
      <w:lvlText w:val="%7."/>
      <w:lvlJc w:val="left"/>
      <w:pPr>
        <w:tabs>
          <w:tab w:val="left" w:pos="2940"/>
        </w:tabs>
        <w:ind w:left="2940" w:hanging="420"/>
      </w:pPr>
    </w:lvl>
    <w:lvl w:ilvl="7" w:tentative="0">
      <w:start w:val="1"/>
      <w:numFmt w:val="lowerLetter"/>
      <w:lvlText w:val="%8)"/>
      <w:lvlJc w:val="left"/>
      <w:pPr>
        <w:tabs>
          <w:tab w:val="left" w:pos="3360"/>
        </w:tabs>
        <w:ind w:left="3360" w:hanging="420"/>
      </w:pPr>
    </w:lvl>
    <w:lvl w:ilvl="8" w:tentative="0">
      <w:start w:val="1"/>
      <w:numFmt w:val="lowerRoman"/>
      <w:lvlText w:val="%9."/>
      <w:lvlJc w:val="right"/>
      <w:pPr>
        <w:tabs>
          <w:tab w:val="left" w:pos="3780"/>
        </w:tabs>
        <w:ind w:left="3780" w:hanging="420"/>
      </w:pPr>
    </w:lvl>
  </w:abstractNum>
  <w:abstractNum w:abstractNumId="6">
    <w:nsid w:val="557C2AF5"/>
    <w:multiLevelType w:val="multilevel"/>
    <w:tmpl w:val="557C2AF5"/>
    <w:lvl w:ilvl="0" w:tentative="0">
      <w:start w:val="1"/>
      <w:numFmt w:val="decimal"/>
      <w:pStyle w:val="120"/>
      <w:suff w:val="nothing"/>
      <w:lvlText w:val="图%1　"/>
      <w:lvlJc w:val="left"/>
      <w:pPr>
        <w:ind w:left="0" w:firstLine="0"/>
      </w:pPr>
      <w:rPr>
        <w:rFonts w:hint="eastAsia" w:ascii="黑体" w:hAnsi="Times New Roman" w:eastAsia="黑体"/>
        <w:b w:val="0"/>
        <w:i w:val="0"/>
        <w:sz w:val="21"/>
      </w:rPr>
    </w:lvl>
    <w:lvl w:ilvl="1" w:tentative="0">
      <w:start w:val="1"/>
      <w:numFmt w:val="decimal"/>
      <w:suff w:val="nothing"/>
      <w:lvlText w:val="%1%2　"/>
      <w:lvlJc w:val="left"/>
      <w:pPr>
        <w:ind w:left="0" w:firstLine="0"/>
      </w:pPr>
      <w:rPr>
        <w:rFonts w:hint="default" w:ascii="Times New Roman" w:hAnsi="Times New Roman" w:eastAsia="黑体"/>
        <w:b w:val="0"/>
        <w:i w:val="0"/>
        <w:sz w:val="21"/>
      </w:rPr>
    </w:lvl>
    <w:lvl w:ilvl="2" w:tentative="0">
      <w:start w:val="1"/>
      <w:numFmt w:val="decimal"/>
      <w:suff w:val="nothing"/>
      <w:lvlText w:val="%1%2.%3　"/>
      <w:lvlJc w:val="left"/>
      <w:pPr>
        <w:ind w:left="0" w:firstLine="0"/>
      </w:pPr>
      <w:rPr>
        <w:rFonts w:hint="default" w:ascii="Times New Roman" w:hAnsi="Times New Roman" w:eastAsia="黑体"/>
        <w:b w:val="0"/>
        <w:i w:val="0"/>
        <w:sz w:val="21"/>
      </w:rPr>
    </w:lvl>
    <w:lvl w:ilvl="3" w:tentative="0">
      <w:start w:val="1"/>
      <w:numFmt w:val="decimal"/>
      <w:suff w:val="nothing"/>
      <w:lvlText w:val="%1%2.%3.%4　"/>
      <w:lvlJc w:val="left"/>
      <w:pPr>
        <w:ind w:left="0" w:firstLine="0"/>
      </w:pPr>
      <w:rPr>
        <w:rFonts w:hint="default" w:ascii="Times New Roman" w:hAnsi="Times New Roman" w:eastAsia="黑体"/>
        <w:b w:val="0"/>
        <w:i w:val="0"/>
        <w:sz w:val="21"/>
      </w:rPr>
    </w:lvl>
    <w:lvl w:ilvl="4" w:tentative="0">
      <w:start w:val="1"/>
      <w:numFmt w:val="decimal"/>
      <w:suff w:val="nothing"/>
      <w:lvlText w:val="%1%2.%3.%4.%5　"/>
      <w:lvlJc w:val="left"/>
      <w:pPr>
        <w:ind w:left="0" w:firstLine="0"/>
      </w:pPr>
      <w:rPr>
        <w:rFonts w:hint="default" w:ascii="Times New Roman" w:hAnsi="Times New Roman" w:eastAsia="黑体"/>
        <w:b w:val="0"/>
        <w:i w:val="0"/>
        <w:sz w:val="21"/>
      </w:rPr>
    </w:lvl>
    <w:lvl w:ilvl="5" w:tentative="0">
      <w:start w:val="1"/>
      <w:numFmt w:val="decimal"/>
      <w:suff w:val="nothing"/>
      <w:lvlText w:val="%1%2.%3.%4.%5.%6　"/>
      <w:lvlJc w:val="left"/>
      <w:pPr>
        <w:ind w:left="0" w:firstLine="0"/>
      </w:pPr>
      <w:rPr>
        <w:rFonts w:hint="default" w:ascii="Times New Roman" w:hAnsi="Times New Roman" w:eastAsia="黑体"/>
        <w:b w:val="0"/>
        <w:i w:val="0"/>
        <w:sz w:val="21"/>
      </w:rPr>
    </w:lvl>
    <w:lvl w:ilvl="6" w:tentative="0">
      <w:start w:val="1"/>
      <w:numFmt w:val="decimal"/>
      <w:suff w:val="nothing"/>
      <w:lvlText w:val="%1%2.%3.%4.%5.%6.%7　"/>
      <w:lvlJc w:val="left"/>
      <w:pPr>
        <w:ind w:left="0" w:firstLine="0"/>
      </w:pPr>
      <w:rPr>
        <w:rFonts w:hint="default" w:ascii="Times New Roman" w:hAnsi="Times New Roman" w:eastAsia="黑体"/>
        <w:b w:val="0"/>
        <w:i w:val="0"/>
        <w:sz w:val="21"/>
      </w:rPr>
    </w:lvl>
    <w:lvl w:ilvl="7" w:tentative="0">
      <w:start w:val="1"/>
      <w:numFmt w:val="decimal"/>
      <w:lvlText w:val="%1.%2.%3.%4.%5.%6.%7.%8"/>
      <w:lvlJc w:val="left"/>
      <w:pPr>
        <w:tabs>
          <w:tab w:val="left" w:pos="4351"/>
        </w:tabs>
        <w:ind w:left="3969" w:hanging="1418"/>
      </w:pPr>
      <w:rPr>
        <w:rFonts w:hint="eastAsia"/>
      </w:rPr>
    </w:lvl>
    <w:lvl w:ilvl="8" w:tentative="0">
      <w:start w:val="1"/>
      <w:numFmt w:val="decimal"/>
      <w:lvlText w:val="%1.%2.%3.%4.%5.%6.%7.%8.%9"/>
      <w:lvlJc w:val="left"/>
      <w:pPr>
        <w:tabs>
          <w:tab w:val="left" w:pos="4777"/>
        </w:tabs>
        <w:ind w:left="4677" w:hanging="1700"/>
      </w:pPr>
      <w:rPr>
        <w:rFonts w:hint="eastAsia"/>
      </w:rPr>
    </w:lvl>
  </w:abstractNum>
  <w:abstractNum w:abstractNumId="7">
    <w:nsid w:val="646260FA"/>
    <w:multiLevelType w:val="multilevel"/>
    <w:tmpl w:val="646260FA"/>
    <w:lvl w:ilvl="0" w:tentative="0">
      <w:start w:val="1"/>
      <w:numFmt w:val="decimal"/>
      <w:pStyle w:val="119"/>
      <w:suff w:val="nothing"/>
      <w:lvlText w:val="表%1　"/>
      <w:lvlJc w:val="left"/>
      <w:pPr>
        <w:ind w:left="0" w:firstLine="0"/>
      </w:pPr>
      <w:rPr>
        <w:rFonts w:hint="eastAsia" w:ascii="黑体" w:hAnsi="Times New Roman" w:eastAsia="黑体"/>
        <w:b w:val="0"/>
        <w:i w:val="0"/>
        <w:sz w:val="21"/>
      </w:rPr>
    </w:lvl>
    <w:lvl w:ilvl="1" w:tentative="0">
      <w:start w:val="1"/>
      <w:numFmt w:val="decimal"/>
      <w:lvlText w:val="%1.%2"/>
      <w:lvlJc w:val="left"/>
      <w:pPr>
        <w:tabs>
          <w:tab w:val="left" w:pos="992"/>
        </w:tabs>
        <w:ind w:left="992" w:hanging="567"/>
      </w:pPr>
      <w:rPr>
        <w:rFonts w:hint="eastAsia"/>
      </w:rPr>
    </w:lvl>
    <w:lvl w:ilvl="2" w:tentative="0">
      <w:start w:val="1"/>
      <w:numFmt w:val="decimal"/>
      <w:lvlText w:val="%1.%2.%3"/>
      <w:lvlJc w:val="left"/>
      <w:pPr>
        <w:tabs>
          <w:tab w:val="left" w:pos="1418"/>
        </w:tabs>
        <w:ind w:left="1418" w:hanging="567"/>
      </w:pPr>
      <w:rPr>
        <w:rFonts w:hint="eastAsia"/>
      </w:rPr>
    </w:lvl>
    <w:lvl w:ilvl="3" w:tentative="0">
      <w:start w:val="1"/>
      <w:numFmt w:val="decimal"/>
      <w:lvlText w:val="%1.%2.%3.%4"/>
      <w:lvlJc w:val="left"/>
      <w:pPr>
        <w:tabs>
          <w:tab w:val="left" w:pos="1984"/>
        </w:tabs>
        <w:ind w:left="1984" w:hanging="708"/>
      </w:pPr>
      <w:rPr>
        <w:rFonts w:hint="eastAsia"/>
      </w:rPr>
    </w:lvl>
    <w:lvl w:ilvl="4" w:tentative="0">
      <w:start w:val="1"/>
      <w:numFmt w:val="decimal"/>
      <w:lvlText w:val="%1.%2.%3.%4.%5"/>
      <w:lvlJc w:val="left"/>
      <w:pPr>
        <w:tabs>
          <w:tab w:val="left" w:pos="2551"/>
        </w:tabs>
        <w:ind w:left="2551" w:hanging="850"/>
      </w:pPr>
      <w:rPr>
        <w:rFonts w:hint="eastAsia"/>
      </w:rPr>
    </w:lvl>
    <w:lvl w:ilvl="5" w:tentative="0">
      <w:start w:val="1"/>
      <w:numFmt w:val="decimal"/>
      <w:lvlText w:val="%1.%2.%3.%4.%5.%6"/>
      <w:lvlJc w:val="left"/>
      <w:pPr>
        <w:tabs>
          <w:tab w:val="left" w:pos="3260"/>
        </w:tabs>
        <w:ind w:left="3260" w:hanging="1134"/>
      </w:pPr>
      <w:rPr>
        <w:rFonts w:hint="eastAsia"/>
      </w:rPr>
    </w:lvl>
    <w:lvl w:ilvl="6" w:tentative="0">
      <w:start w:val="1"/>
      <w:numFmt w:val="decimal"/>
      <w:lvlText w:val="%1.%2.%3.%4.%5.%6.%7"/>
      <w:lvlJc w:val="left"/>
      <w:pPr>
        <w:tabs>
          <w:tab w:val="left" w:pos="3827"/>
        </w:tabs>
        <w:ind w:left="3827" w:hanging="1276"/>
      </w:pPr>
      <w:rPr>
        <w:rFonts w:hint="eastAsia"/>
      </w:rPr>
    </w:lvl>
    <w:lvl w:ilvl="7" w:tentative="0">
      <w:start w:val="1"/>
      <w:numFmt w:val="decimal"/>
      <w:lvlText w:val="%1.%2.%3.%4.%5.%6.%7.%8"/>
      <w:lvlJc w:val="left"/>
      <w:pPr>
        <w:tabs>
          <w:tab w:val="left" w:pos="4394"/>
        </w:tabs>
        <w:ind w:left="4394" w:hanging="1418"/>
      </w:pPr>
      <w:rPr>
        <w:rFonts w:hint="eastAsia"/>
      </w:rPr>
    </w:lvl>
    <w:lvl w:ilvl="8" w:tentative="0">
      <w:start w:val="1"/>
      <w:numFmt w:val="decimal"/>
      <w:lvlText w:val="%1.%2.%3.%4.%5.%6.%7.%8.%9"/>
      <w:lvlJc w:val="left"/>
      <w:pPr>
        <w:tabs>
          <w:tab w:val="left" w:pos="5102"/>
        </w:tabs>
        <w:ind w:left="5102" w:hanging="1700"/>
      </w:pPr>
      <w:rPr>
        <w:rFonts w:hint="eastAsia"/>
      </w:rPr>
    </w:lvl>
  </w:abstractNum>
  <w:abstractNum w:abstractNumId="8">
    <w:nsid w:val="657D3FBC"/>
    <w:multiLevelType w:val="multilevel"/>
    <w:tmpl w:val="657D3FBC"/>
    <w:lvl w:ilvl="0" w:tentative="0">
      <w:start w:val="1"/>
      <w:numFmt w:val="upperLetter"/>
      <w:pStyle w:val="101"/>
      <w:suff w:val="nothing"/>
      <w:lvlText w:val="附　录　%1"/>
      <w:lvlJc w:val="left"/>
      <w:pPr>
        <w:ind w:left="0" w:firstLine="0"/>
      </w:pPr>
      <w:rPr>
        <w:rFonts w:hint="eastAsia" w:ascii="黑体" w:hAnsi="Times New Roman" w:eastAsia="黑体"/>
        <w:b w:val="0"/>
        <w:i w:val="0"/>
        <w:sz w:val="21"/>
      </w:rPr>
    </w:lvl>
    <w:lvl w:ilvl="1" w:tentative="0">
      <w:start w:val="1"/>
      <w:numFmt w:val="decimal"/>
      <w:pStyle w:val="76"/>
      <w:suff w:val="nothing"/>
      <w:lvlText w:val="%1.%2　"/>
      <w:lvlJc w:val="left"/>
      <w:pPr>
        <w:ind w:left="0" w:firstLine="0"/>
      </w:pPr>
      <w:rPr>
        <w:rFonts w:hint="eastAsia" w:ascii="黑体" w:hAnsi="Times New Roman" w:eastAsia="黑体"/>
        <w:b w:val="0"/>
        <w:i w:val="0"/>
        <w:snapToGrid/>
        <w:spacing w:val="0"/>
        <w:w w:val="100"/>
        <w:kern w:val="21"/>
        <w:sz w:val="21"/>
      </w:rPr>
    </w:lvl>
    <w:lvl w:ilvl="2" w:tentative="0">
      <w:start w:val="1"/>
      <w:numFmt w:val="decimal"/>
      <w:pStyle w:val="75"/>
      <w:suff w:val="nothing"/>
      <w:lvlText w:val="%1.%2.%3　"/>
      <w:lvlJc w:val="left"/>
      <w:pPr>
        <w:ind w:left="0" w:firstLine="0"/>
      </w:pPr>
      <w:rPr>
        <w:rFonts w:hint="eastAsia" w:ascii="黑体" w:hAnsi="Times New Roman" w:eastAsia="黑体"/>
        <w:b w:val="0"/>
        <w:i w:val="0"/>
        <w:sz w:val="21"/>
      </w:rPr>
    </w:lvl>
    <w:lvl w:ilvl="3" w:tentative="0">
      <w:start w:val="1"/>
      <w:numFmt w:val="decimal"/>
      <w:pStyle w:val="74"/>
      <w:suff w:val="nothing"/>
      <w:lvlText w:val="%1.%2.%3.%4　"/>
      <w:lvlJc w:val="left"/>
      <w:pPr>
        <w:ind w:left="0" w:firstLine="0"/>
      </w:pPr>
      <w:rPr>
        <w:rFonts w:hint="eastAsia" w:ascii="黑体" w:hAnsi="Times New Roman" w:eastAsia="黑体"/>
        <w:b w:val="0"/>
        <w:i w:val="0"/>
        <w:sz w:val="21"/>
      </w:rPr>
    </w:lvl>
    <w:lvl w:ilvl="4" w:tentative="0">
      <w:start w:val="1"/>
      <w:numFmt w:val="decimal"/>
      <w:pStyle w:val="73"/>
      <w:suff w:val="nothing"/>
      <w:lvlText w:val="%1.%2.%3.%4.%5　"/>
      <w:lvlJc w:val="left"/>
      <w:pPr>
        <w:ind w:left="0" w:firstLine="0"/>
      </w:pPr>
      <w:rPr>
        <w:rFonts w:hint="eastAsia" w:ascii="黑体" w:hAnsi="Times New Roman" w:eastAsia="黑体"/>
        <w:b w:val="0"/>
        <w:i w:val="0"/>
        <w:sz w:val="21"/>
      </w:rPr>
    </w:lvl>
    <w:lvl w:ilvl="5" w:tentative="0">
      <w:start w:val="1"/>
      <w:numFmt w:val="decimal"/>
      <w:pStyle w:val="72"/>
      <w:suff w:val="nothing"/>
      <w:lvlText w:val="%1.%2.%3.%4.%5.%6　"/>
      <w:lvlJc w:val="left"/>
      <w:pPr>
        <w:ind w:left="0" w:firstLine="0"/>
      </w:pPr>
      <w:rPr>
        <w:rFonts w:hint="eastAsia" w:ascii="黑体" w:hAnsi="Times New Roman" w:eastAsia="黑体"/>
        <w:b w:val="0"/>
        <w:i w:val="0"/>
        <w:sz w:val="21"/>
      </w:rPr>
    </w:lvl>
    <w:lvl w:ilvl="6" w:tentative="0">
      <w:start w:val="1"/>
      <w:numFmt w:val="decimal"/>
      <w:pStyle w:val="84"/>
      <w:suff w:val="nothing"/>
      <w:lvlText w:val="%1.%2.%3.%4.%5.%6.%7　"/>
      <w:lvlJc w:val="left"/>
      <w:pPr>
        <w:ind w:left="0" w:firstLine="0"/>
      </w:pPr>
      <w:rPr>
        <w:rFonts w:hint="eastAsia" w:ascii="黑体" w:hAnsi="Times New Roman" w:eastAsia="黑体"/>
        <w:b w:val="0"/>
        <w:i w:val="0"/>
        <w:sz w:val="21"/>
      </w:rPr>
    </w:lvl>
    <w:lvl w:ilvl="7" w:tentative="0">
      <w:start w:val="1"/>
      <w:numFmt w:val="decimal"/>
      <w:lvlText w:val="%1.%2.%3.%4.%5.%6.%7.%8"/>
      <w:lvlJc w:val="left"/>
      <w:pPr>
        <w:tabs>
          <w:tab w:val="left" w:pos="4394"/>
        </w:tabs>
        <w:ind w:left="4394" w:hanging="1418"/>
      </w:pPr>
      <w:rPr>
        <w:rFonts w:hint="eastAsia"/>
      </w:rPr>
    </w:lvl>
    <w:lvl w:ilvl="8" w:tentative="0">
      <w:start w:val="1"/>
      <w:numFmt w:val="decimal"/>
      <w:lvlText w:val="%1.%2.%3.%4.%5.%6.%7.%8.%9"/>
      <w:lvlJc w:val="left"/>
      <w:pPr>
        <w:tabs>
          <w:tab w:val="left" w:pos="5102"/>
        </w:tabs>
        <w:ind w:left="5102" w:hanging="1700"/>
      </w:pPr>
      <w:rPr>
        <w:rFonts w:hint="eastAsia"/>
      </w:rPr>
    </w:lvl>
  </w:abstractNum>
  <w:abstractNum w:abstractNumId="9">
    <w:nsid w:val="6CEA2025"/>
    <w:multiLevelType w:val="multilevel"/>
    <w:tmpl w:val="6CEA2025"/>
    <w:lvl w:ilvl="0" w:tentative="0">
      <w:start w:val="1"/>
      <w:numFmt w:val="none"/>
      <w:pStyle w:val="79"/>
      <w:suff w:val="nothing"/>
      <w:lvlText w:val="%1"/>
      <w:lvlJc w:val="left"/>
      <w:pPr>
        <w:ind w:left="0" w:firstLine="0"/>
      </w:pPr>
      <w:rPr>
        <w:rFonts w:hint="default" w:ascii="Times New Roman" w:hAnsi="Times New Roman"/>
        <w:b/>
        <w:i w:val="0"/>
        <w:sz w:val="21"/>
      </w:rPr>
    </w:lvl>
    <w:lvl w:ilvl="1" w:tentative="0">
      <w:start w:val="1"/>
      <w:numFmt w:val="decimal"/>
      <w:suff w:val="nothing"/>
      <w:lvlText w:val="%1%2　"/>
      <w:lvlJc w:val="left"/>
      <w:pPr>
        <w:ind w:left="0" w:firstLine="0"/>
      </w:pPr>
      <w:rPr>
        <w:rFonts w:hint="eastAsia" w:ascii="黑体" w:hAnsi="Times New Roman" w:eastAsia="黑体"/>
        <w:b w:val="0"/>
        <w:i w:val="0"/>
        <w:sz w:val="21"/>
      </w:rPr>
    </w:lvl>
    <w:lvl w:ilvl="2" w:tentative="0">
      <w:start w:val="1"/>
      <w:numFmt w:val="decimal"/>
      <w:suff w:val="nothing"/>
      <w:lvlText w:val="%1%2.%3　"/>
      <w:lvlJc w:val="left"/>
      <w:pPr>
        <w:ind w:left="0" w:firstLine="0"/>
      </w:pPr>
      <w:rPr>
        <w:rFonts w:hint="eastAsia" w:ascii="黑体" w:hAnsi="Times New Roman" w:eastAsia="黑体"/>
        <w:b w:val="0"/>
        <w:i w:val="0"/>
        <w:sz w:val="21"/>
      </w:rPr>
    </w:lvl>
    <w:lvl w:ilvl="3" w:tentative="0">
      <w:start w:val="1"/>
      <w:numFmt w:val="decimal"/>
      <w:suff w:val="nothing"/>
      <w:lvlText w:val="%1%2.%3.%4　"/>
      <w:lvlJc w:val="left"/>
      <w:pPr>
        <w:ind w:left="0" w:firstLine="0"/>
      </w:pPr>
      <w:rPr>
        <w:rFonts w:hint="eastAsia" w:ascii="黑体" w:hAnsi="Times New Roman" w:eastAsia="黑体"/>
        <w:b w:val="0"/>
        <w:i w:val="0"/>
        <w:sz w:val="21"/>
      </w:rPr>
    </w:lvl>
    <w:lvl w:ilvl="4" w:tentative="0">
      <w:start w:val="1"/>
      <w:numFmt w:val="decimal"/>
      <w:pStyle w:val="81"/>
      <w:suff w:val="nothing"/>
      <w:lvlText w:val="%1%2.%3.%4.%5　"/>
      <w:lvlJc w:val="left"/>
      <w:pPr>
        <w:ind w:left="0" w:firstLine="0"/>
      </w:pPr>
      <w:rPr>
        <w:rFonts w:hint="eastAsia" w:ascii="黑体" w:hAnsi="Times New Roman" w:eastAsia="黑体"/>
        <w:b w:val="0"/>
        <w:i w:val="0"/>
        <w:sz w:val="21"/>
      </w:rPr>
    </w:lvl>
    <w:lvl w:ilvl="5" w:tentative="0">
      <w:start w:val="1"/>
      <w:numFmt w:val="decimal"/>
      <w:pStyle w:val="110"/>
      <w:suff w:val="nothing"/>
      <w:lvlText w:val="%1%2.%3.%4.%5.%6　"/>
      <w:lvlJc w:val="left"/>
      <w:pPr>
        <w:ind w:left="0" w:firstLine="0"/>
      </w:pPr>
      <w:rPr>
        <w:rFonts w:hint="eastAsia" w:ascii="黑体" w:hAnsi="Times New Roman" w:eastAsia="黑体"/>
        <w:b w:val="0"/>
        <w:i w:val="0"/>
        <w:sz w:val="21"/>
      </w:rPr>
    </w:lvl>
    <w:lvl w:ilvl="6" w:tentative="0">
      <w:start w:val="1"/>
      <w:numFmt w:val="decimal"/>
      <w:pStyle w:val="116"/>
      <w:suff w:val="nothing"/>
      <w:lvlText w:val="%1%2.%3.%4.%5.%6.%7　"/>
      <w:lvlJc w:val="left"/>
      <w:pPr>
        <w:ind w:left="0" w:firstLine="0"/>
      </w:pPr>
      <w:rPr>
        <w:rFonts w:hint="eastAsia" w:ascii="黑体" w:hAnsi="Times New Roman" w:eastAsia="黑体"/>
        <w:b w:val="0"/>
        <w:i w:val="0"/>
        <w:sz w:val="21"/>
      </w:rPr>
    </w:lvl>
    <w:lvl w:ilvl="7" w:tentative="0">
      <w:start w:val="1"/>
      <w:numFmt w:val="decimal"/>
      <w:lvlText w:val="%1.%2.%3.%4.%5.%6.%7.%8"/>
      <w:lvlJc w:val="left"/>
      <w:pPr>
        <w:tabs>
          <w:tab w:val="left" w:pos="4351"/>
        </w:tabs>
        <w:ind w:left="3969" w:hanging="1418"/>
      </w:pPr>
      <w:rPr>
        <w:rFonts w:hint="eastAsia"/>
      </w:rPr>
    </w:lvl>
    <w:lvl w:ilvl="8" w:tentative="0">
      <w:start w:val="1"/>
      <w:numFmt w:val="decimal"/>
      <w:lvlText w:val="%1.%2.%3.%4.%5.%6.%7.%8.%9"/>
      <w:lvlJc w:val="left"/>
      <w:pPr>
        <w:tabs>
          <w:tab w:val="left" w:pos="4777"/>
        </w:tabs>
        <w:ind w:left="4677" w:hanging="1700"/>
      </w:pPr>
      <w:rPr>
        <w:rFonts w:hint="eastAsia"/>
      </w:rPr>
    </w:lvl>
  </w:abstractNum>
  <w:abstractNum w:abstractNumId="10">
    <w:nsid w:val="6DBF04F4"/>
    <w:multiLevelType w:val="multilevel"/>
    <w:tmpl w:val="6DBF04F4"/>
    <w:lvl w:ilvl="0" w:tentative="0">
      <w:start w:val="1"/>
      <w:numFmt w:val="none"/>
      <w:pStyle w:val="121"/>
      <w:lvlText w:val="%1注："/>
      <w:lvlJc w:val="left"/>
      <w:pPr>
        <w:tabs>
          <w:tab w:val="left" w:pos="1140"/>
        </w:tabs>
        <w:ind w:left="840" w:hanging="420"/>
      </w:pPr>
      <w:rPr>
        <w:rFonts w:hint="eastAsia" w:ascii="宋体" w:hAnsi="Times New Roman" w:eastAsia="宋体"/>
        <w:b w:val="0"/>
        <w:i w:val="0"/>
        <w:sz w:val="18"/>
      </w:rPr>
    </w:lvl>
    <w:lvl w:ilvl="1" w:tentative="0">
      <w:start w:val="1"/>
      <w:numFmt w:val="lowerLetter"/>
      <w:lvlText w:val="%2)"/>
      <w:lvlJc w:val="left"/>
      <w:pPr>
        <w:tabs>
          <w:tab w:val="left" w:pos="840"/>
        </w:tabs>
        <w:ind w:left="840" w:hanging="420"/>
      </w:pPr>
    </w:lvl>
    <w:lvl w:ilvl="2" w:tentative="0">
      <w:start w:val="1"/>
      <w:numFmt w:val="lowerRoman"/>
      <w:lvlText w:val="%3."/>
      <w:lvlJc w:val="right"/>
      <w:pPr>
        <w:tabs>
          <w:tab w:val="left" w:pos="1260"/>
        </w:tabs>
        <w:ind w:left="1260" w:hanging="420"/>
      </w:pPr>
    </w:lvl>
    <w:lvl w:ilvl="3" w:tentative="0">
      <w:start w:val="1"/>
      <w:numFmt w:val="decimal"/>
      <w:lvlText w:val="%4."/>
      <w:lvlJc w:val="left"/>
      <w:pPr>
        <w:tabs>
          <w:tab w:val="left" w:pos="1680"/>
        </w:tabs>
        <w:ind w:left="1680" w:hanging="420"/>
      </w:pPr>
    </w:lvl>
    <w:lvl w:ilvl="4" w:tentative="0">
      <w:start w:val="1"/>
      <w:numFmt w:val="lowerLetter"/>
      <w:lvlText w:val="%5)"/>
      <w:lvlJc w:val="left"/>
      <w:pPr>
        <w:tabs>
          <w:tab w:val="left" w:pos="2100"/>
        </w:tabs>
        <w:ind w:left="2100" w:hanging="420"/>
      </w:pPr>
    </w:lvl>
    <w:lvl w:ilvl="5" w:tentative="0">
      <w:start w:val="1"/>
      <w:numFmt w:val="lowerRoman"/>
      <w:lvlText w:val="%6."/>
      <w:lvlJc w:val="right"/>
      <w:pPr>
        <w:tabs>
          <w:tab w:val="left" w:pos="2520"/>
        </w:tabs>
        <w:ind w:left="2520" w:hanging="420"/>
      </w:pPr>
    </w:lvl>
    <w:lvl w:ilvl="6" w:tentative="0">
      <w:start w:val="1"/>
      <w:numFmt w:val="decimal"/>
      <w:lvlText w:val="%7."/>
      <w:lvlJc w:val="left"/>
      <w:pPr>
        <w:tabs>
          <w:tab w:val="left" w:pos="2940"/>
        </w:tabs>
        <w:ind w:left="2940" w:hanging="420"/>
      </w:pPr>
    </w:lvl>
    <w:lvl w:ilvl="7" w:tentative="0">
      <w:start w:val="1"/>
      <w:numFmt w:val="lowerLetter"/>
      <w:lvlText w:val="%8)"/>
      <w:lvlJc w:val="left"/>
      <w:pPr>
        <w:tabs>
          <w:tab w:val="left" w:pos="3360"/>
        </w:tabs>
        <w:ind w:left="3360" w:hanging="420"/>
      </w:pPr>
    </w:lvl>
    <w:lvl w:ilvl="8" w:tentative="0">
      <w:start w:val="1"/>
      <w:numFmt w:val="lowerRoman"/>
      <w:lvlText w:val="%9."/>
      <w:lvlJc w:val="right"/>
      <w:pPr>
        <w:tabs>
          <w:tab w:val="left" w:pos="3780"/>
        </w:tabs>
        <w:ind w:left="3780" w:hanging="420"/>
      </w:pPr>
    </w:lvl>
  </w:abstractNum>
  <w:abstractNum w:abstractNumId="11">
    <w:nsid w:val="76933334"/>
    <w:multiLevelType w:val="multilevel"/>
    <w:tmpl w:val="76933334"/>
    <w:lvl w:ilvl="0" w:tentative="0">
      <w:start w:val="1"/>
      <w:numFmt w:val="none"/>
      <w:pStyle w:val="104"/>
      <w:lvlText w:val="%1——"/>
      <w:lvlJc w:val="left"/>
      <w:pPr>
        <w:tabs>
          <w:tab w:val="left" w:pos="1140"/>
        </w:tabs>
        <w:ind w:left="840" w:hanging="420"/>
      </w:pPr>
      <w:rPr>
        <w:rFonts w:hint="eastAsia"/>
      </w:rPr>
    </w:lvl>
    <w:lvl w:ilvl="1" w:tentative="0">
      <w:start w:val="1"/>
      <w:numFmt w:val="lowerLetter"/>
      <w:lvlText w:val="%2)"/>
      <w:lvlJc w:val="left"/>
      <w:pPr>
        <w:tabs>
          <w:tab w:val="left" w:pos="840"/>
        </w:tabs>
        <w:ind w:left="840" w:hanging="420"/>
      </w:pPr>
    </w:lvl>
    <w:lvl w:ilvl="2" w:tentative="0">
      <w:start w:val="1"/>
      <w:numFmt w:val="lowerRoman"/>
      <w:lvlText w:val="%3."/>
      <w:lvlJc w:val="right"/>
      <w:pPr>
        <w:tabs>
          <w:tab w:val="left" w:pos="1260"/>
        </w:tabs>
        <w:ind w:left="1260" w:hanging="420"/>
      </w:pPr>
    </w:lvl>
    <w:lvl w:ilvl="3" w:tentative="0">
      <w:start w:val="1"/>
      <w:numFmt w:val="decimal"/>
      <w:lvlText w:val="%4."/>
      <w:lvlJc w:val="left"/>
      <w:pPr>
        <w:tabs>
          <w:tab w:val="left" w:pos="1680"/>
        </w:tabs>
        <w:ind w:left="1680" w:hanging="420"/>
      </w:pPr>
    </w:lvl>
    <w:lvl w:ilvl="4" w:tentative="0">
      <w:start w:val="1"/>
      <w:numFmt w:val="lowerLetter"/>
      <w:lvlText w:val="%5)"/>
      <w:lvlJc w:val="left"/>
      <w:pPr>
        <w:tabs>
          <w:tab w:val="left" w:pos="2100"/>
        </w:tabs>
        <w:ind w:left="2100" w:hanging="420"/>
      </w:pPr>
    </w:lvl>
    <w:lvl w:ilvl="5" w:tentative="0">
      <w:start w:val="1"/>
      <w:numFmt w:val="lowerRoman"/>
      <w:lvlText w:val="%6."/>
      <w:lvlJc w:val="right"/>
      <w:pPr>
        <w:tabs>
          <w:tab w:val="left" w:pos="2520"/>
        </w:tabs>
        <w:ind w:left="2520" w:hanging="420"/>
      </w:pPr>
    </w:lvl>
    <w:lvl w:ilvl="6" w:tentative="0">
      <w:start w:val="1"/>
      <w:numFmt w:val="decimal"/>
      <w:lvlText w:val="%7."/>
      <w:lvlJc w:val="left"/>
      <w:pPr>
        <w:tabs>
          <w:tab w:val="left" w:pos="2940"/>
        </w:tabs>
        <w:ind w:left="2940" w:hanging="420"/>
      </w:pPr>
    </w:lvl>
    <w:lvl w:ilvl="7" w:tentative="0">
      <w:start w:val="1"/>
      <w:numFmt w:val="lowerLetter"/>
      <w:lvlText w:val="%8)"/>
      <w:lvlJc w:val="left"/>
      <w:pPr>
        <w:tabs>
          <w:tab w:val="left" w:pos="3360"/>
        </w:tabs>
        <w:ind w:left="3360" w:hanging="420"/>
      </w:pPr>
    </w:lvl>
    <w:lvl w:ilvl="8" w:tentative="0">
      <w:start w:val="1"/>
      <w:numFmt w:val="lowerRoman"/>
      <w:lvlText w:val="%9."/>
      <w:lvlJc w:val="right"/>
      <w:pPr>
        <w:tabs>
          <w:tab w:val="left" w:pos="3780"/>
        </w:tabs>
        <w:ind w:left="3780" w:hanging="420"/>
      </w:pPr>
    </w:lvl>
  </w:abstractNum>
  <w:num w:numId="1">
    <w:abstractNumId w:val="3"/>
  </w:num>
  <w:num w:numId="2">
    <w:abstractNumId w:val="2"/>
  </w:num>
  <w:num w:numId="3">
    <w:abstractNumId w:val="8"/>
  </w:num>
  <w:num w:numId="4">
    <w:abstractNumId w:val="9"/>
  </w:num>
  <w:num w:numId="5">
    <w:abstractNumId w:val="11"/>
  </w:num>
  <w:num w:numId="6">
    <w:abstractNumId w:val="4"/>
  </w:num>
  <w:num w:numId="7">
    <w:abstractNumId w:val="7"/>
  </w:num>
  <w:num w:numId="8">
    <w:abstractNumId w:val="6"/>
  </w:num>
  <w:num w:numId="9">
    <w:abstractNumId w:val="10"/>
  </w:num>
  <w:num w:numId="10">
    <w:abstractNumId w:val="5"/>
  </w:num>
  <w:num w:numId="11">
    <w:abstractNumId w:val="0"/>
  </w:num>
  <w:num w:numId="1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3"/>
  <w:embedTrueTypeFonts/>
  <w:saveSubsetFonts/>
  <w:bordersDoNotSurroundHeader w:val="0"/>
  <w:bordersDoNotSurroundFooter w:val="0"/>
  <w:documentProtection w:enforcement="0"/>
  <w:defaultTabStop w:val="420"/>
  <w:drawingGridHorizontalSpacing w:val="96"/>
  <w:drawingGridVerticalSpacing w:val="156"/>
  <w:displayHorizontalDrawingGridEvery w:val="1"/>
  <w:displayVerticalDrawingGridEvery w:val="1"/>
  <w:noPunctuationKerning w:val="1"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2A27"/>
    <w:rsid w:val="00000600"/>
    <w:rsid w:val="00001AD5"/>
    <w:rsid w:val="00003491"/>
    <w:rsid w:val="000037D2"/>
    <w:rsid w:val="000065A1"/>
    <w:rsid w:val="00012C67"/>
    <w:rsid w:val="00014276"/>
    <w:rsid w:val="00015100"/>
    <w:rsid w:val="00020D33"/>
    <w:rsid w:val="00021C6E"/>
    <w:rsid w:val="00022D05"/>
    <w:rsid w:val="00023A0F"/>
    <w:rsid w:val="0002669E"/>
    <w:rsid w:val="00027415"/>
    <w:rsid w:val="000449B0"/>
    <w:rsid w:val="00047546"/>
    <w:rsid w:val="000501FC"/>
    <w:rsid w:val="000555F5"/>
    <w:rsid w:val="00056034"/>
    <w:rsid w:val="00060C30"/>
    <w:rsid w:val="0006511B"/>
    <w:rsid w:val="00066DF5"/>
    <w:rsid w:val="00067912"/>
    <w:rsid w:val="00072C62"/>
    <w:rsid w:val="00076838"/>
    <w:rsid w:val="00076FE5"/>
    <w:rsid w:val="000913AA"/>
    <w:rsid w:val="00091710"/>
    <w:rsid w:val="00091BBF"/>
    <w:rsid w:val="00095480"/>
    <w:rsid w:val="000A1245"/>
    <w:rsid w:val="000A1780"/>
    <w:rsid w:val="000A408A"/>
    <w:rsid w:val="000A5135"/>
    <w:rsid w:val="000A6CE1"/>
    <w:rsid w:val="000A702B"/>
    <w:rsid w:val="000B15F1"/>
    <w:rsid w:val="000B3B53"/>
    <w:rsid w:val="000C795D"/>
    <w:rsid w:val="000C7D1E"/>
    <w:rsid w:val="000D0D61"/>
    <w:rsid w:val="000D11AC"/>
    <w:rsid w:val="000D14F2"/>
    <w:rsid w:val="000D5EB5"/>
    <w:rsid w:val="000D6845"/>
    <w:rsid w:val="000E0F71"/>
    <w:rsid w:val="000E1472"/>
    <w:rsid w:val="000E5568"/>
    <w:rsid w:val="000F0490"/>
    <w:rsid w:val="000F1C53"/>
    <w:rsid w:val="000F234E"/>
    <w:rsid w:val="000F3D81"/>
    <w:rsid w:val="000F788D"/>
    <w:rsid w:val="00100BB8"/>
    <w:rsid w:val="00101C16"/>
    <w:rsid w:val="00104AC8"/>
    <w:rsid w:val="00105177"/>
    <w:rsid w:val="00105B9F"/>
    <w:rsid w:val="00107566"/>
    <w:rsid w:val="0011003E"/>
    <w:rsid w:val="00111A00"/>
    <w:rsid w:val="00114105"/>
    <w:rsid w:val="00115CB3"/>
    <w:rsid w:val="001206FE"/>
    <w:rsid w:val="00121083"/>
    <w:rsid w:val="00122F0F"/>
    <w:rsid w:val="00126B2A"/>
    <w:rsid w:val="0012777A"/>
    <w:rsid w:val="00132A68"/>
    <w:rsid w:val="001331D7"/>
    <w:rsid w:val="00135A95"/>
    <w:rsid w:val="00143336"/>
    <w:rsid w:val="00143401"/>
    <w:rsid w:val="00143C40"/>
    <w:rsid w:val="00145CC3"/>
    <w:rsid w:val="0015079E"/>
    <w:rsid w:val="00152D7E"/>
    <w:rsid w:val="00154115"/>
    <w:rsid w:val="00156A94"/>
    <w:rsid w:val="00162151"/>
    <w:rsid w:val="001621BF"/>
    <w:rsid w:val="00162298"/>
    <w:rsid w:val="00163D2E"/>
    <w:rsid w:val="00172A27"/>
    <w:rsid w:val="00173798"/>
    <w:rsid w:val="00173E8B"/>
    <w:rsid w:val="00174E25"/>
    <w:rsid w:val="00176EB9"/>
    <w:rsid w:val="001828C2"/>
    <w:rsid w:val="001903A2"/>
    <w:rsid w:val="00195AED"/>
    <w:rsid w:val="001970C8"/>
    <w:rsid w:val="00197999"/>
    <w:rsid w:val="001A0134"/>
    <w:rsid w:val="001A168A"/>
    <w:rsid w:val="001B17CC"/>
    <w:rsid w:val="001B3EB1"/>
    <w:rsid w:val="001B7439"/>
    <w:rsid w:val="001C0680"/>
    <w:rsid w:val="001C0B8E"/>
    <w:rsid w:val="001C384F"/>
    <w:rsid w:val="001C7ACD"/>
    <w:rsid w:val="001D2338"/>
    <w:rsid w:val="001D717A"/>
    <w:rsid w:val="001E37A6"/>
    <w:rsid w:val="001E6600"/>
    <w:rsid w:val="001F162E"/>
    <w:rsid w:val="001F46BE"/>
    <w:rsid w:val="001F6DDE"/>
    <w:rsid w:val="001F7A0C"/>
    <w:rsid w:val="002045D5"/>
    <w:rsid w:val="0020499A"/>
    <w:rsid w:val="0020534B"/>
    <w:rsid w:val="00213480"/>
    <w:rsid w:val="002139D7"/>
    <w:rsid w:val="002146D1"/>
    <w:rsid w:val="00214AD8"/>
    <w:rsid w:val="00215982"/>
    <w:rsid w:val="00216A3B"/>
    <w:rsid w:val="00221686"/>
    <w:rsid w:val="00222AC5"/>
    <w:rsid w:val="00225EC8"/>
    <w:rsid w:val="00232FD3"/>
    <w:rsid w:val="00234591"/>
    <w:rsid w:val="00234D6C"/>
    <w:rsid w:val="00243D10"/>
    <w:rsid w:val="00245229"/>
    <w:rsid w:val="00245893"/>
    <w:rsid w:val="00246E3B"/>
    <w:rsid w:val="00247988"/>
    <w:rsid w:val="00250799"/>
    <w:rsid w:val="00251D4A"/>
    <w:rsid w:val="002526E1"/>
    <w:rsid w:val="00257071"/>
    <w:rsid w:val="00270414"/>
    <w:rsid w:val="00271B36"/>
    <w:rsid w:val="00273C64"/>
    <w:rsid w:val="002763D0"/>
    <w:rsid w:val="002826DE"/>
    <w:rsid w:val="002831FC"/>
    <w:rsid w:val="00287E6F"/>
    <w:rsid w:val="00291E81"/>
    <w:rsid w:val="00292F15"/>
    <w:rsid w:val="00292F8E"/>
    <w:rsid w:val="00294EC4"/>
    <w:rsid w:val="002A140C"/>
    <w:rsid w:val="002A1BF1"/>
    <w:rsid w:val="002A43A2"/>
    <w:rsid w:val="002A67B6"/>
    <w:rsid w:val="002B1A70"/>
    <w:rsid w:val="002B3036"/>
    <w:rsid w:val="002B4AF7"/>
    <w:rsid w:val="002C1971"/>
    <w:rsid w:val="002C2941"/>
    <w:rsid w:val="002C5CE4"/>
    <w:rsid w:val="002D02E7"/>
    <w:rsid w:val="002D20F2"/>
    <w:rsid w:val="002D5E7E"/>
    <w:rsid w:val="002D67E2"/>
    <w:rsid w:val="002D6ED0"/>
    <w:rsid w:val="002E1947"/>
    <w:rsid w:val="002E28C5"/>
    <w:rsid w:val="002E35BF"/>
    <w:rsid w:val="002F0DE6"/>
    <w:rsid w:val="002F45EE"/>
    <w:rsid w:val="002F4B74"/>
    <w:rsid w:val="0030073B"/>
    <w:rsid w:val="00305AC4"/>
    <w:rsid w:val="00306CBC"/>
    <w:rsid w:val="003073C7"/>
    <w:rsid w:val="00312A0F"/>
    <w:rsid w:val="00312A4B"/>
    <w:rsid w:val="003131D2"/>
    <w:rsid w:val="00313385"/>
    <w:rsid w:val="00314FAB"/>
    <w:rsid w:val="00321005"/>
    <w:rsid w:val="003227D7"/>
    <w:rsid w:val="0032534D"/>
    <w:rsid w:val="00326368"/>
    <w:rsid w:val="003279F1"/>
    <w:rsid w:val="003346EE"/>
    <w:rsid w:val="0033484C"/>
    <w:rsid w:val="00341376"/>
    <w:rsid w:val="00344552"/>
    <w:rsid w:val="00347C8B"/>
    <w:rsid w:val="00351452"/>
    <w:rsid w:val="00353543"/>
    <w:rsid w:val="003536C8"/>
    <w:rsid w:val="003546C0"/>
    <w:rsid w:val="00354A7F"/>
    <w:rsid w:val="003559F6"/>
    <w:rsid w:val="0036009E"/>
    <w:rsid w:val="0036599B"/>
    <w:rsid w:val="00371C18"/>
    <w:rsid w:val="00371E4A"/>
    <w:rsid w:val="00371EBB"/>
    <w:rsid w:val="003751BA"/>
    <w:rsid w:val="003827ED"/>
    <w:rsid w:val="00384733"/>
    <w:rsid w:val="00385748"/>
    <w:rsid w:val="00386047"/>
    <w:rsid w:val="003863F3"/>
    <w:rsid w:val="0039611D"/>
    <w:rsid w:val="00397098"/>
    <w:rsid w:val="00397D76"/>
    <w:rsid w:val="003A39B9"/>
    <w:rsid w:val="003A5BC3"/>
    <w:rsid w:val="003A6A58"/>
    <w:rsid w:val="003B2404"/>
    <w:rsid w:val="003B3287"/>
    <w:rsid w:val="003B39C8"/>
    <w:rsid w:val="003B42E9"/>
    <w:rsid w:val="003B4BA1"/>
    <w:rsid w:val="003C19CA"/>
    <w:rsid w:val="003C31BD"/>
    <w:rsid w:val="003C49BC"/>
    <w:rsid w:val="003C5970"/>
    <w:rsid w:val="003C5AC1"/>
    <w:rsid w:val="003D1718"/>
    <w:rsid w:val="003D4B7D"/>
    <w:rsid w:val="003D4CCE"/>
    <w:rsid w:val="003D599A"/>
    <w:rsid w:val="003D5A36"/>
    <w:rsid w:val="003E5D78"/>
    <w:rsid w:val="003E6942"/>
    <w:rsid w:val="003E7769"/>
    <w:rsid w:val="003E7BC0"/>
    <w:rsid w:val="003F3CC1"/>
    <w:rsid w:val="00401712"/>
    <w:rsid w:val="00403580"/>
    <w:rsid w:val="004056C2"/>
    <w:rsid w:val="00406723"/>
    <w:rsid w:val="004079C8"/>
    <w:rsid w:val="004135E4"/>
    <w:rsid w:val="0042117C"/>
    <w:rsid w:val="0042404B"/>
    <w:rsid w:val="0043582D"/>
    <w:rsid w:val="00436CEC"/>
    <w:rsid w:val="00437DF0"/>
    <w:rsid w:val="004422EA"/>
    <w:rsid w:val="00443250"/>
    <w:rsid w:val="004506A0"/>
    <w:rsid w:val="00456308"/>
    <w:rsid w:val="00456AB0"/>
    <w:rsid w:val="00463DF6"/>
    <w:rsid w:val="00467A0C"/>
    <w:rsid w:val="0047255A"/>
    <w:rsid w:val="0047426C"/>
    <w:rsid w:val="0047467F"/>
    <w:rsid w:val="00476640"/>
    <w:rsid w:val="004821FE"/>
    <w:rsid w:val="0048765D"/>
    <w:rsid w:val="00487F12"/>
    <w:rsid w:val="00491B3A"/>
    <w:rsid w:val="00491FFA"/>
    <w:rsid w:val="004934E6"/>
    <w:rsid w:val="00493893"/>
    <w:rsid w:val="004938A1"/>
    <w:rsid w:val="0049599B"/>
    <w:rsid w:val="004A0D8A"/>
    <w:rsid w:val="004A4FDC"/>
    <w:rsid w:val="004B4B4C"/>
    <w:rsid w:val="004B5246"/>
    <w:rsid w:val="004C215F"/>
    <w:rsid w:val="004C2557"/>
    <w:rsid w:val="004C70B5"/>
    <w:rsid w:val="004D5E39"/>
    <w:rsid w:val="004D6095"/>
    <w:rsid w:val="004D6444"/>
    <w:rsid w:val="004D7338"/>
    <w:rsid w:val="004E40CE"/>
    <w:rsid w:val="004F05BF"/>
    <w:rsid w:val="004F5D98"/>
    <w:rsid w:val="004F642A"/>
    <w:rsid w:val="00505DB1"/>
    <w:rsid w:val="00506F87"/>
    <w:rsid w:val="00507B92"/>
    <w:rsid w:val="00510BC3"/>
    <w:rsid w:val="00512A9D"/>
    <w:rsid w:val="005135AC"/>
    <w:rsid w:val="005176CC"/>
    <w:rsid w:val="00544603"/>
    <w:rsid w:val="005454CE"/>
    <w:rsid w:val="0055147E"/>
    <w:rsid w:val="005548F8"/>
    <w:rsid w:val="00555303"/>
    <w:rsid w:val="00557671"/>
    <w:rsid w:val="005647BF"/>
    <w:rsid w:val="00574AE5"/>
    <w:rsid w:val="00576510"/>
    <w:rsid w:val="0057659A"/>
    <w:rsid w:val="00583CCC"/>
    <w:rsid w:val="00585419"/>
    <w:rsid w:val="005867C4"/>
    <w:rsid w:val="00590B1C"/>
    <w:rsid w:val="005925DF"/>
    <w:rsid w:val="00593BEA"/>
    <w:rsid w:val="005945B8"/>
    <w:rsid w:val="005A0E0F"/>
    <w:rsid w:val="005A24E0"/>
    <w:rsid w:val="005A63BF"/>
    <w:rsid w:val="005A66CB"/>
    <w:rsid w:val="005A785A"/>
    <w:rsid w:val="005B0C1C"/>
    <w:rsid w:val="005B2144"/>
    <w:rsid w:val="005B2F38"/>
    <w:rsid w:val="005B2FD0"/>
    <w:rsid w:val="005B4EFD"/>
    <w:rsid w:val="005B7535"/>
    <w:rsid w:val="005C0DE9"/>
    <w:rsid w:val="005C53B1"/>
    <w:rsid w:val="005C5985"/>
    <w:rsid w:val="005C5B5A"/>
    <w:rsid w:val="005C67C9"/>
    <w:rsid w:val="005C7441"/>
    <w:rsid w:val="005D32C5"/>
    <w:rsid w:val="005E0C0B"/>
    <w:rsid w:val="005E128E"/>
    <w:rsid w:val="005E2069"/>
    <w:rsid w:val="005E51A3"/>
    <w:rsid w:val="005E65B3"/>
    <w:rsid w:val="005E750F"/>
    <w:rsid w:val="005E77FA"/>
    <w:rsid w:val="005F05C9"/>
    <w:rsid w:val="005F3142"/>
    <w:rsid w:val="005F3175"/>
    <w:rsid w:val="005F4E57"/>
    <w:rsid w:val="005F5C81"/>
    <w:rsid w:val="005F68C4"/>
    <w:rsid w:val="005F6AE2"/>
    <w:rsid w:val="005F7888"/>
    <w:rsid w:val="0060176C"/>
    <w:rsid w:val="00607E57"/>
    <w:rsid w:val="00613BB2"/>
    <w:rsid w:val="0061433E"/>
    <w:rsid w:val="00620635"/>
    <w:rsid w:val="00623DF3"/>
    <w:rsid w:val="00630A22"/>
    <w:rsid w:val="006313C2"/>
    <w:rsid w:val="0063419D"/>
    <w:rsid w:val="006350A9"/>
    <w:rsid w:val="00635D61"/>
    <w:rsid w:val="00641B49"/>
    <w:rsid w:val="00642188"/>
    <w:rsid w:val="006429BD"/>
    <w:rsid w:val="00644DB7"/>
    <w:rsid w:val="00647235"/>
    <w:rsid w:val="00650490"/>
    <w:rsid w:val="00652828"/>
    <w:rsid w:val="0065388D"/>
    <w:rsid w:val="00653ED1"/>
    <w:rsid w:val="00655105"/>
    <w:rsid w:val="00656FC3"/>
    <w:rsid w:val="0066079F"/>
    <w:rsid w:val="00661134"/>
    <w:rsid w:val="00662B24"/>
    <w:rsid w:val="00663563"/>
    <w:rsid w:val="0066430B"/>
    <w:rsid w:val="00664FC1"/>
    <w:rsid w:val="006661EF"/>
    <w:rsid w:val="006676B9"/>
    <w:rsid w:val="0067052E"/>
    <w:rsid w:val="0067328A"/>
    <w:rsid w:val="006759B1"/>
    <w:rsid w:val="0067614A"/>
    <w:rsid w:val="0067788D"/>
    <w:rsid w:val="00681855"/>
    <w:rsid w:val="006860D7"/>
    <w:rsid w:val="00686B9D"/>
    <w:rsid w:val="006903B2"/>
    <w:rsid w:val="00691C85"/>
    <w:rsid w:val="00692E9D"/>
    <w:rsid w:val="00693010"/>
    <w:rsid w:val="0069459D"/>
    <w:rsid w:val="00694984"/>
    <w:rsid w:val="006A03B7"/>
    <w:rsid w:val="006A667F"/>
    <w:rsid w:val="006B1DD6"/>
    <w:rsid w:val="006B35CD"/>
    <w:rsid w:val="006B44C8"/>
    <w:rsid w:val="006C2FDA"/>
    <w:rsid w:val="006C3803"/>
    <w:rsid w:val="006C7A34"/>
    <w:rsid w:val="006D0147"/>
    <w:rsid w:val="006D2EC0"/>
    <w:rsid w:val="006D45A2"/>
    <w:rsid w:val="006E2E08"/>
    <w:rsid w:val="006E5264"/>
    <w:rsid w:val="006E7099"/>
    <w:rsid w:val="006F1EFE"/>
    <w:rsid w:val="006F2C6B"/>
    <w:rsid w:val="006F3306"/>
    <w:rsid w:val="007008F7"/>
    <w:rsid w:val="00702FA1"/>
    <w:rsid w:val="00703861"/>
    <w:rsid w:val="00704585"/>
    <w:rsid w:val="00706E5C"/>
    <w:rsid w:val="0070711B"/>
    <w:rsid w:val="007074BB"/>
    <w:rsid w:val="00707920"/>
    <w:rsid w:val="00712D66"/>
    <w:rsid w:val="00713ADE"/>
    <w:rsid w:val="007158CA"/>
    <w:rsid w:val="00715923"/>
    <w:rsid w:val="00720BC2"/>
    <w:rsid w:val="00721258"/>
    <w:rsid w:val="00721780"/>
    <w:rsid w:val="00721EC6"/>
    <w:rsid w:val="007233AC"/>
    <w:rsid w:val="00723488"/>
    <w:rsid w:val="007239E8"/>
    <w:rsid w:val="00725B7B"/>
    <w:rsid w:val="007323E9"/>
    <w:rsid w:val="00733651"/>
    <w:rsid w:val="00734716"/>
    <w:rsid w:val="00735BCB"/>
    <w:rsid w:val="0073613C"/>
    <w:rsid w:val="007377DC"/>
    <w:rsid w:val="00744594"/>
    <w:rsid w:val="0075336B"/>
    <w:rsid w:val="00753E95"/>
    <w:rsid w:val="00757041"/>
    <w:rsid w:val="00760D8C"/>
    <w:rsid w:val="007701D5"/>
    <w:rsid w:val="00770A66"/>
    <w:rsid w:val="00772F48"/>
    <w:rsid w:val="00775B4F"/>
    <w:rsid w:val="007853F1"/>
    <w:rsid w:val="007925DD"/>
    <w:rsid w:val="00794C03"/>
    <w:rsid w:val="00796417"/>
    <w:rsid w:val="007A381A"/>
    <w:rsid w:val="007A4AA1"/>
    <w:rsid w:val="007A5A57"/>
    <w:rsid w:val="007A659B"/>
    <w:rsid w:val="007A679E"/>
    <w:rsid w:val="007B0B2B"/>
    <w:rsid w:val="007B271C"/>
    <w:rsid w:val="007B75E7"/>
    <w:rsid w:val="007C02F8"/>
    <w:rsid w:val="007C09FA"/>
    <w:rsid w:val="007C0E4F"/>
    <w:rsid w:val="007C2AE5"/>
    <w:rsid w:val="007C53D2"/>
    <w:rsid w:val="007C7D05"/>
    <w:rsid w:val="007D0B7A"/>
    <w:rsid w:val="007E141A"/>
    <w:rsid w:val="007E1CF3"/>
    <w:rsid w:val="007E2E60"/>
    <w:rsid w:val="007E388B"/>
    <w:rsid w:val="007E3BE5"/>
    <w:rsid w:val="007E43CC"/>
    <w:rsid w:val="007E4B7B"/>
    <w:rsid w:val="007E578F"/>
    <w:rsid w:val="007E6A76"/>
    <w:rsid w:val="007F067F"/>
    <w:rsid w:val="007F09A2"/>
    <w:rsid w:val="007F0CD7"/>
    <w:rsid w:val="007F2172"/>
    <w:rsid w:val="007F2657"/>
    <w:rsid w:val="007F3D5D"/>
    <w:rsid w:val="007F4686"/>
    <w:rsid w:val="007F5135"/>
    <w:rsid w:val="007F61EF"/>
    <w:rsid w:val="00806C4E"/>
    <w:rsid w:val="008112B3"/>
    <w:rsid w:val="0081331C"/>
    <w:rsid w:val="00814A2C"/>
    <w:rsid w:val="00816166"/>
    <w:rsid w:val="00821333"/>
    <w:rsid w:val="008213C1"/>
    <w:rsid w:val="00823F72"/>
    <w:rsid w:val="00830115"/>
    <w:rsid w:val="008312E3"/>
    <w:rsid w:val="008349DA"/>
    <w:rsid w:val="00835E18"/>
    <w:rsid w:val="00836606"/>
    <w:rsid w:val="008368D7"/>
    <w:rsid w:val="008576BB"/>
    <w:rsid w:val="00860484"/>
    <w:rsid w:val="008606CA"/>
    <w:rsid w:val="0086131B"/>
    <w:rsid w:val="00862C03"/>
    <w:rsid w:val="00864671"/>
    <w:rsid w:val="00870079"/>
    <w:rsid w:val="008829BA"/>
    <w:rsid w:val="00890A40"/>
    <w:rsid w:val="0089568E"/>
    <w:rsid w:val="008A05A5"/>
    <w:rsid w:val="008A2AC2"/>
    <w:rsid w:val="008A42B0"/>
    <w:rsid w:val="008A4BA9"/>
    <w:rsid w:val="008A7D25"/>
    <w:rsid w:val="008B08E1"/>
    <w:rsid w:val="008B1729"/>
    <w:rsid w:val="008B3FEA"/>
    <w:rsid w:val="008C17B4"/>
    <w:rsid w:val="008C2785"/>
    <w:rsid w:val="008C2B53"/>
    <w:rsid w:val="008C3B14"/>
    <w:rsid w:val="008D16DF"/>
    <w:rsid w:val="008D2AC9"/>
    <w:rsid w:val="008D4D60"/>
    <w:rsid w:val="008D4F47"/>
    <w:rsid w:val="008E3432"/>
    <w:rsid w:val="008E4175"/>
    <w:rsid w:val="008F2F65"/>
    <w:rsid w:val="008F69A1"/>
    <w:rsid w:val="009007FD"/>
    <w:rsid w:val="00902749"/>
    <w:rsid w:val="0091240F"/>
    <w:rsid w:val="00913151"/>
    <w:rsid w:val="00916797"/>
    <w:rsid w:val="0092011B"/>
    <w:rsid w:val="00921F24"/>
    <w:rsid w:val="00931D59"/>
    <w:rsid w:val="00932B37"/>
    <w:rsid w:val="00937021"/>
    <w:rsid w:val="00946E0B"/>
    <w:rsid w:val="00947E40"/>
    <w:rsid w:val="00950369"/>
    <w:rsid w:val="00950992"/>
    <w:rsid w:val="00952DB9"/>
    <w:rsid w:val="00955419"/>
    <w:rsid w:val="009578C9"/>
    <w:rsid w:val="0096041E"/>
    <w:rsid w:val="00960557"/>
    <w:rsid w:val="00966B76"/>
    <w:rsid w:val="00971125"/>
    <w:rsid w:val="009732CB"/>
    <w:rsid w:val="00980150"/>
    <w:rsid w:val="00980B5A"/>
    <w:rsid w:val="00982752"/>
    <w:rsid w:val="00984CFD"/>
    <w:rsid w:val="0098544E"/>
    <w:rsid w:val="00985CDC"/>
    <w:rsid w:val="009865BB"/>
    <w:rsid w:val="009871AC"/>
    <w:rsid w:val="00991894"/>
    <w:rsid w:val="009967E7"/>
    <w:rsid w:val="009A0CB2"/>
    <w:rsid w:val="009A25F3"/>
    <w:rsid w:val="009A53E0"/>
    <w:rsid w:val="009B5C44"/>
    <w:rsid w:val="009B5C5B"/>
    <w:rsid w:val="009B72F4"/>
    <w:rsid w:val="009C0D8D"/>
    <w:rsid w:val="009C14D0"/>
    <w:rsid w:val="009C5AD1"/>
    <w:rsid w:val="009C75E1"/>
    <w:rsid w:val="009D11D2"/>
    <w:rsid w:val="009D2A0F"/>
    <w:rsid w:val="009D79EC"/>
    <w:rsid w:val="009D79F8"/>
    <w:rsid w:val="009E5D07"/>
    <w:rsid w:val="009F1D4E"/>
    <w:rsid w:val="009F4176"/>
    <w:rsid w:val="009F4DB5"/>
    <w:rsid w:val="009F7B82"/>
    <w:rsid w:val="00A00ECF"/>
    <w:rsid w:val="00A03BC6"/>
    <w:rsid w:val="00A03DFB"/>
    <w:rsid w:val="00A0482F"/>
    <w:rsid w:val="00A0766F"/>
    <w:rsid w:val="00A0793E"/>
    <w:rsid w:val="00A11715"/>
    <w:rsid w:val="00A17DD9"/>
    <w:rsid w:val="00A202BB"/>
    <w:rsid w:val="00A23B2D"/>
    <w:rsid w:val="00A26173"/>
    <w:rsid w:val="00A26F01"/>
    <w:rsid w:val="00A2765F"/>
    <w:rsid w:val="00A31843"/>
    <w:rsid w:val="00A3321F"/>
    <w:rsid w:val="00A351FE"/>
    <w:rsid w:val="00A40B87"/>
    <w:rsid w:val="00A41592"/>
    <w:rsid w:val="00A45456"/>
    <w:rsid w:val="00A5121B"/>
    <w:rsid w:val="00A57333"/>
    <w:rsid w:val="00A66073"/>
    <w:rsid w:val="00A66A91"/>
    <w:rsid w:val="00A67094"/>
    <w:rsid w:val="00A729BC"/>
    <w:rsid w:val="00A732EB"/>
    <w:rsid w:val="00A74A2A"/>
    <w:rsid w:val="00A75282"/>
    <w:rsid w:val="00A7649C"/>
    <w:rsid w:val="00A8473F"/>
    <w:rsid w:val="00A85A99"/>
    <w:rsid w:val="00A875F1"/>
    <w:rsid w:val="00A94D4B"/>
    <w:rsid w:val="00AA0E91"/>
    <w:rsid w:val="00AA111F"/>
    <w:rsid w:val="00AA35BE"/>
    <w:rsid w:val="00AA532B"/>
    <w:rsid w:val="00AA6F75"/>
    <w:rsid w:val="00AB1DA6"/>
    <w:rsid w:val="00AB27AB"/>
    <w:rsid w:val="00AB3389"/>
    <w:rsid w:val="00AB562D"/>
    <w:rsid w:val="00AB65AE"/>
    <w:rsid w:val="00AC1DDC"/>
    <w:rsid w:val="00AC2474"/>
    <w:rsid w:val="00AC3354"/>
    <w:rsid w:val="00AC345E"/>
    <w:rsid w:val="00AC3EBE"/>
    <w:rsid w:val="00AD1B0F"/>
    <w:rsid w:val="00AD54CD"/>
    <w:rsid w:val="00AD74AF"/>
    <w:rsid w:val="00AE0F34"/>
    <w:rsid w:val="00AE16B5"/>
    <w:rsid w:val="00AE28EE"/>
    <w:rsid w:val="00AE3CDA"/>
    <w:rsid w:val="00AF5980"/>
    <w:rsid w:val="00B00650"/>
    <w:rsid w:val="00B011AE"/>
    <w:rsid w:val="00B01C80"/>
    <w:rsid w:val="00B03F22"/>
    <w:rsid w:val="00B07AFA"/>
    <w:rsid w:val="00B12D8B"/>
    <w:rsid w:val="00B144E7"/>
    <w:rsid w:val="00B171AA"/>
    <w:rsid w:val="00B17614"/>
    <w:rsid w:val="00B202ED"/>
    <w:rsid w:val="00B26562"/>
    <w:rsid w:val="00B34AE4"/>
    <w:rsid w:val="00B431B4"/>
    <w:rsid w:val="00B50FE1"/>
    <w:rsid w:val="00B55F70"/>
    <w:rsid w:val="00B6468A"/>
    <w:rsid w:val="00B71489"/>
    <w:rsid w:val="00B71814"/>
    <w:rsid w:val="00B71AF0"/>
    <w:rsid w:val="00B7391C"/>
    <w:rsid w:val="00B75FA3"/>
    <w:rsid w:val="00B76A83"/>
    <w:rsid w:val="00B8410B"/>
    <w:rsid w:val="00B86402"/>
    <w:rsid w:val="00B86A83"/>
    <w:rsid w:val="00B878DF"/>
    <w:rsid w:val="00B9212F"/>
    <w:rsid w:val="00BA1064"/>
    <w:rsid w:val="00BA3596"/>
    <w:rsid w:val="00BA7198"/>
    <w:rsid w:val="00BB01F7"/>
    <w:rsid w:val="00BB3E60"/>
    <w:rsid w:val="00BC1127"/>
    <w:rsid w:val="00BC1BE2"/>
    <w:rsid w:val="00BC1CE7"/>
    <w:rsid w:val="00BC20A6"/>
    <w:rsid w:val="00BC37CD"/>
    <w:rsid w:val="00BC4F33"/>
    <w:rsid w:val="00BC5C21"/>
    <w:rsid w:val="00BD02DD"/>
    <w:rsid w:val="00BD4C8C"/>
    <w:rsid w:val="00BE4A1D"/>
    <w:rsid w:val="00BF1135"/>
    <w:rsid w:val="00BF1CA9"/>
    <w:rsid w:val="00BF5792"/>
    <w:rsid w:val="00BF5B87"/>
    <w:rsid w:val="00C01785"/>
    <w:rsid w:val="00C12012"/>
    <w:rsid w:val="00C12629"/>
    <w:rsid w:val="00C13007"/>
    <w:rsid w:val="00C149C4"/>
    <w:rsid w:val="00C15529"/>
    <w:rsid w:val="00C20832"/>
    <w:rsid w:val="00C22A24"/>
    <w:rsid w:val="00C24375"/>
    <w:rsid w:val="00C3400E"/>
    <w:rsid w:val="00C379B0"/>
    <w:rsid w:val="00C423AB"/>
    <w:rsid w:val="00C44773"/>
    <w:rsid w:val="00C47468"/>
    <w:rsid w:val="00C57649"/>
    <w:rsid w:val="00C57935"/>
    <w:rsid w:val="00C62584"/>
    <w:rsid w:val="00C62E89"/>
    <w:rsid w:val="00C66B8A"/>
    <w:rsid w:val="00C7321F"/>
    <w:rsid w:val="00C74CC2"/>
    <w:rsid w:val="00C825BE"/>
    <w:rsid w:val="00C82C13"/>
    <w:rsid w:val="00C82C8F"/>
    <w:rsid w:val="00C83F73"/>
    <w:rsid w:val="00C87518"/>
    <w:rsid w:val="00C901D0"/>
    <w:rsid w:val="00C93843"/>
    <w:rsid w:val="00C9486F"/>
    <w:rsid w:val="00C9594F"/>
    <w:rsid w:val="00CA1E44"/>
    <w:rsid w:val="00CA2B85"/>
    <w:rsid w:val="00CA2CA2"/>
    <w:rsid w:val="00CA4C3F"/>
    <w:rsid w:val="00CA76CA"/>
    <w:rsid w:val="00CB38D0"/>
    <w:rsid w:val="00CB546A"/>
    <w:rsid w:val="00CB7B2D"/>
    <w:rsid w:val="00CC1B76"/>
    <w:rsid w:val="00CC3027"/>
    <w:rsid w:val="00CC40B9"/>
    <w:rsid w:val="00CC4188"/>
    <w:rsid w:val="00CD1F0A"/>
    <w:rsid w:val="00CE0C7C"/>
    <w:rsid w:val="00CE62C5"/>
    <w:rsid w:val="00CF0654"/>
    <w:rsid w:val="00CF13C8"/>
    <w:rsid w:val="00CF1D17"/>
    <w:rsid w:val="00CF43B4"/>
    <w:rsid w:val="00CF5B07"/>
    <w:rsid w:val="00D00303"/>
    <w:rsid w:val="00D025CF"/>
    <w:rsid w:val="00D02803"/>
    <w:rsid w:val="00D04050"/>
    <w:rsid w:val="00D052EE"/>
    <w:rsid w:val="00D05607"/>
    <w:rsid w:val="00D1238F"/>
    <w:rsid w:val="00D12519"/>
    <w:rsid w:val="00D14BE9"/>
    <w:rsid w:val="00D16D44"/>
    <w:rsid w:val="00D20DA6"/>
    <w:rsid w:val="00D221D4"/>
    <w:rsid w:val="00D23439"/>
    <w:rsid w:val="00D24015"/>
    <w:rsid w:val="00D25925"/>
    <w:rsid w:val="00D25EA3"/>
    <w:rsid w:val="00D30996"/>
    <w:rsid w:val="00D347D8"/>
    <w:rsid w:val="00D358D1"/>
    <w:rsid w:val="00D37905"/>
    <w:rsid w:val="00D44F7A"/>
    <w:rsid w:val="00D50E83"/>
    <w:rsid w:val="00D519C6"/>
    <w:rsid w:val="00D52A3F"/>
    <w:rsid w:val="00D52BD9"/>
    <w:rsid w:val="00D52C31"/>
    <w:rsid w:val="00D53FCC"/>
    <w:rsid w:val="00D56580"/>
    <w:rsid w:val="00D56C68"/>
    <w:rsid w:val="00D603E8"/>
    <w:rsid w:val="00D618FE"/>
    <w:rsid w:val="00D6574E"/>
    <w:rsid w:val="00D735DB"/>
    <w:rsid w:val="00D736E9"/>
    <w:rsid w:val="00D809FC"/>
    <w:rsid w:val="00D81A38"/>
    <w:rsid w:val="00D82BEE"/>
    <w:rsid w:val="00D83490"/>
    <w:rsid w:val="00D83750"/>
    <w:rsid w:val="00D859CC"/>
    <w:rsid w:val="00D9658E"/>
    <w:rsid w:val="00D9774E"/>
    <w:rsid w:val="00DA4E9F"/>
    <w:rsid w:val="00DA6E81"/>
    <w:rsid w:val="00DA740E"/>
    <w:rsid w:val="00DB0326"/>
    <w:rsid w:val="00DB6502"/>
    <w:rsid w:val="00DC02CF"/>
    <w:rsid w:val="00DC0718"/>
    <w:rsid w:val="00DC12FB"/>
    <w:rsid w:val="00DC1C68"/>
    <w:rsid w:val="00DC4DDA"/>
    <w:rsid w:val="00DC5A69"/>
    <w:rsid w:val="00DC77F9"/>
    <w:rsid w:val="00DC7F34"/>
    <w:rsid w:val="00DD1709"/>
    <w:rsid w:val="00DD709C"/>
    <w:rsid w:val="00DE72D4"/>
    <w:rsid w:val="00DE744A"/>
    <w:rsid w:val="00DE752F"/>
    <w:rsid w:val="00DF19C6"/>
    <w:rsid w:val="00DF6D9D"/>
    <w:rsid w:val="00E00255"/>
    <w:rsid w:val="00E00499"/>
    <w:rsid w:val="00E070CD"/>
    <w:rsid w:val="00E14A4D"/>
    <w:rsid w:val="00E15F18"/>
    <w:rsid w:val="00E20269"/>
    <w:rsid w:val="00E22538"/>
    <w:rsid w:val="00E23439"/>
    <w:rsid w:val="00E274B2"/>
    <w:rsid w:val="00E32062"/>
    <w:rsid w:val="00E32410"/>
    <w:rsid w:val="00E37E8C"/>
    <w:rsid w:val="00E43665"/>
    <w:rsid w:val="00E45B17"/>
    <w:rsid w:val="00E50C2D"/>
    <w:rsid w:val="00E5213F"/>
    <w:rsid w:val="00E52B0B"/>
    <w:rsid w:val="00E558A1"/>
    <w:rsid w:val="00E56778"/>
    <w:rsid w:val="00E6220A"/>
    <w:rsid w:val="00E62633"/>
    <w:rsid w:val="00E633DC"/>
    <w:rsid w:val="00E64F40"/>
    <w:rsid w:val="00E6672A"/>
    <w:rsid w:val="00E67693"/>
    <w:rsid w:val="00E67C2A"/>
    <w:rsid w:val="00E7002D"/>
    <w:rsid w:val="00E7432B"/>
    <w:rsid w:val="00E77911"/>
    <w:rsid w:val="00E80790"/>
    <w:rsid w:val="00E829B8"/>
    <w:rsid w:val="00E83E4A"/>
    <w:rsid w:val="00E863F9"/>
    <w:rsid w:val="00E8795F"/>
    <w:rsid w:val="00E95C9D"/>
    <w:rsid w:val="00EA0E4F"/>
    <w:rsid w:val="00EA1D86"/>
    <w:rsid w:val="00EA2643"/>
    <w:rsid w:val="00EA34DC"/>
    <w:rsid w:val="00EB2330"/>
    <w:rsid w:val="00EB2A9B"/>
    <w:rsid w:val="00EB2B63"/>
    <w:rsid w:val="00EB2D52"/>
    <w:rsid w:val="00EB3310"/>
    <w:rsid w:val="00EB3B4E"/>
    <w:rsid w:val="00EB480A"/>
    <w:rsid w:val="00EC027E"/>
    <w:rsid w:val="00EC3779"/>
    <w:rsid w:val="00EC40F8"/>
    <w:rsid w:val="00EC4D23"/>
    <w:rsid w:val="00ED653F"/>
    <w:rsid w:val="00EE2AA0"/>
    <w:rsid w:val="00EE69FC"/>
    <w:rsid w:val="00EF2837"/>
    <w:rsid w:val="00EF5C8D"/>
    <w:rsid w:val="00EF6C8E"/>
    <w:rsid w:val="00F0038C"/>
    <w:rsid w:val="00F011F1"/>
    <w:rsid w:val="00F041E2"/>
    <w:rsid w:val="00F0631D"/>
    <w:rsid w:val="00F11009"/>
    <w:rsid w:val="00F1723C"/>
    <w:rsid w:val="00F20F76"/>
    <w:rsid w:val="00F210E3"/>
    <w:rsid w:val="00F25A17"/>
    <w:rsid w:val="00F26619"/>
    <w:rsid w:val="00F2755C"/>
    <w:rsid w:val="00F3670F"/>
    <w:rsid w:val="00F37D49"/>
    <w:rsid w:val="00F40D68"/>
    <w:rsid w:val="00F43117"/>
    <w:rsid w:val="00F43420"/>
    <w:rsid w:val="00F44D9A"/>
    <w:rsid w:val="00F509B4"/>
    <w:rsid w:val="00F67109"/>
    <w:rsid w:val="00F7218E"/>
    <w:rsid w:val="00F727D1"/>
    <w:rsid w:val="00F742BF"/>
    <w:rsid w:val="00F80D2C"/>
    <w:rsid w:val="00F82248"/>
    <w:rsid w:val="00F82D02"/>
    <w:rsid w:val="00F83528"/>
    <w:rsid w:val="00F86934"/>
    <w:rsid w:val="00F9085C"/>
    <w:rsid w:val="00F90D10"/>
    <w:rsid w:val="00F912C1"/>
    <w:rsid w:val="00F913B3"/>
    <w:rsid w:val="00F95304"/>
    <w:rsid w:val="00F96806"/>
    <w:rsid w:val="00FA73BB"/>
    <w:rsid w:val="00FA7BCF"/>
    <w:rsid w:val="00FB33BE"/>
    <w:rsid w:val="00FB51F2"/>
    <w:rsid w:val="00FB5793"/>
    <w:rsid w:val="00FC560A"/>
    <w:rsid w:val="00FC61A2"/>
    <w:rsid w:val="00FD23D5"/>
    <w:rsid w:val="00FD4385"/>
    <w:rsid w:val="00FE2FC2"/>
    <w:rsid w:val="00FE4A2A"/>
    <w:rsid w:val="00FE4D37"/>
    <w:rsid w:val="00FF4AB5"/>
    <w:rsid w:val="00FF532F"/>
    <w:rsid w:val="00FF53D3"/>
    <w:rsid w:val="00FF6184"/>
    <w:rsid w:val="00FF7901"/>
    <w:rsid w:val="1E573039"/>
    <w:rsid w:val="22541C6A"/>
    <w:rsid w:val="38247F3C"/>
    <w:rsid w:val="426E308D"/>
    <w:rsid w:val="50D50311"/>
    <w:rsid w:val="6BDF37EB"/>
    <w:rsid w:val="71525805"/>
    <w:rsid w:val="74C63B1D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nhideWhenUsed="0" w:uiPriority="0" w:semiHidden="0" w:name="heading 4"/>
    <w:lsdException w:qFormat="1" w:unhideWhenUsed="0" w:uiPriority="0" w:semiHidden="0" w:name="heading 5"/>
    <w:lsdException w:qFormat="1" w:unhideWhenUsed="0" w:uiPriority="0" w:semiHidden="0" w:name="heading 6"/>
    <w:lsdException w:qFormat="1" w:unhideWhenUsed="0" w:uiPriority="0" w:semiHidden="0" w:name="heading 7"/>
    <w:lsdException w:qFormat="1" w:unhideWhenUsed="0" w:uiPriority="0" w:semiHidden="0" w:name="heading 8"/>
    <w:lsdException w:qFormat="1" w:unhideWhenUsed="0" w:uiPriority="0" w:semiHidden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qFormat="1" w:unhideWhenUsed="0" w:uiPriority="0" w:name="toc 1"/>
    <w:lsdException w:unhideWhenUsed="0" w:uiPriority="0" w:name="toc 2"/>
    <w:lsdException w:qFormat="1" w:unhideWhenUsed="0" w:uiPriority="0" w:name="toc 3"/>
    <w:lsdException w:qFormat="1" w:unhideWhenUsed="0" w:uiPriority="0" w:name="toc 4"/>
    <w:lsdException w:qFormat="1" w:unhideWhenUsed="0" w:uiPriority="0" w:name="toc 5"/>
    <w:lsdException w:qFormat="1" w:unhideWhenUsed="0" w:uiPriority="0" w:name="toc 6"/>
    <w:lsdException w:qFormat="1" w:unhideWhenUsed="0" w:uiPriority="0" w:name="toc 7"/>
    <w:lsdException w:qFormat="1" w:unhideWhenUsed="0" w:uiPriority="0" w:name="toc 8"/>
    <w:lsdException w:qFormat="1" w:unhideWhenUsed="0" w:uiPriority="0" w:name="toc 9"/>
    <w:lsdException w:qFormat="1" w:unhideWhenUsed="0" w:uiPriority="0" w:semiHidden="0" w:name="Normal Indent"/>
    <w:lsdException w:qFormat="1" w:unhideWhenUsed="0" w:uiPriority="0" w:name="footnote text"/>
    <w:lsdException w:qFormat="1" w:unhideWhenUsed="0" w:uiPriority="0" w:name="annotation text"/>
    <w:lsdException w:qFormat="1"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qFormat="1" w:unhideWhenUsed="0" w:uiPriority="0" w:name="footnote reference"/>
    <w:lsdException w:qFormat="1" w:unhideWhenUsed="0" w:uiPriority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qFormat="1" w:unhideWhenUsed="0" w:uiPriority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qFormat="1"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qFormat="1"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qFormat="1" w:unhideWhenUsed="0" w:uiPriority="0" w:name="Document Map"/>
    <w:lsdException w:qFormat="1"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qFormat="1" w:unhideWhenUsed="0" w:uiPriority="0" w:semiHidden="0" w:name="HTML Acronym"/>
    <w:lsdException w:qFormat="1" w:unhideWhenUsed="0" w:uiPriority="0" w:semiHidden="0" w:name="HTML Address"/>
    <w:lsdException w:qFormat="1" w:unhideWhenUsed="0" w:uiPriority="0" w:semiHidden="0" w:name="HTML Cite"/>
    <w:lsdException w:qFormat="1" w:unhideWhenUsed="0" w:uiPriority="0" w:semiHidden="0" w:name="HTML Code"/>
    <w:lsdException w:unhideWhenUsed="0" w:uiPriority="0" w:semiHidden="0" w:name="HTML Definition"/>
    <w:lsdException w:qFormat="1" w:unhideWhenUsed="0" w:uiPriority="0" w:semiHidden="0" w:name="HTML Keyboard"/>
    <w:lsdException w:qFormat="1" w:unhideWhenUsed="0" w:uiPriority="0" w:semiHidden="0" w:name="HTML Preformatted"/>
    <w:lsdException w:qFormat="1" w:unhideWhenUsed="0" w:uiPriority="0" w:semiHidden="0" w:name="HTML Sample"/>
    <w:lsdException w:unhideWhenUsed="0" w:uiPriority="0" w:semiHidden="0" w:name="HTML Typewriter"/>
    <w:lsdException w:qFormat="1" w:unhideWhenUsed="0" w:uiPriority="0" w:semiHidden="0" w:name="HTML Variable"/>
    <w:lsdException w:uiPriority="99" w:name="Normal Table"/>
    <w:lsdException w:qFormat="1" w:unhideWhenUsed="0" w:uiPriority="0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nhideWhenUsed="0" w:uiPriority="0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3">
    <w:name w:val="heading 2"/>
    <w:basedOn w:val="1"/>
    <w:next w:val="1"/>
    <w:qFormat/>
    <w:uiPriority w:val="0"/>
    <w:pPr>
      <w:keepNext/>
      <w:keepLines/>
      <w:spacing w:before="260" w:after="260" w:line="416" w:lineRule="auto"/>
      <w:outlineLvl w:val="1"/>
    </w:pPr>
    <w:rPr>
      <w:rFonts w:ascii="Arial" w:hAnsi="Arial" w:eastAsia="黑体"/>
      <w:b/>
      <w:bCs/>
      <w:sz w:val="32"/>
      <w:szCs w:val="32"/>
    </w:rPr>
  </w:style>
  <w:style w:type="paragraph" w:styleId="4">
    <w:name w:val="heading 3"/>
    <w:basedOn w:val="1"/>
    <w:next w:val="1"/>
    <w:qFormat/>
    <w:uiPriority w:val="0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paragraph" w:styleId="5">
    <w:name w:val="heading 4"/>
    <w:basedOn w:val="1"/>
    <w:next w:val="1"/>
    <w:qFormat/>
    <w:uiPriority w:val="0"/>
    <w:pPr>
      <w:keepNext/>
      <w:keepLines/>
      <w:spacing w:before="280" w:after="290" w:line="376" w:lineRule="auto"/>
      <w:outlineLvl w:val="3"/>
    </w:pPr>
    <w:rPr>
      <w:rFonts w:ascii="Arial" w:hAnsi="Arial" w:eastAsia="黑体"/>
      <w:b/>
      <w:bCs/>
      <w:sz w:val="28"/>
      <w:szCs w:val="28"/>
    </w:rPr>
  </w:style>
  <w:style w:type="paragraph" w:styleId="6">
    <w:name w:val="heading 5"/>
    <w:basedOn w:val="1"/>
    <w:next w:val="1"/>
    <w:qFormat/>
    <w:uiPriority w:val="0"/>
    <w:pPr>
      <w:keepNext/>
      <w:keepLines/>
      <w:spacing w:before="280" w:after="290" w:line="376" w:lineRule="auto"/>
      <w:outlineLvl w:val="4"/>
    </w:pPr>
    <w:rPr>
      <w:b/>
      <w:bCs/>
      <w:sz w:val="28"/>
      <w:szCs w:val="28"/>
    </w:rPr>
  </w:style>
  <w:style w:type="paragraph" w:styleId="7">
    <w:name w:val="heading 6"/>
    <w:basedOn w:val="1"/>
    <w:next w:val="1"/>
    <w:qFormat/>
    <w:uiPriority w:val="0"/>
    <w:pPr>
      <w:keepNext/>
      <w:keepLines/>
      <w:spacing w:before="240" w:after="64" w:line="320" w:lineRule="auto"/>
      <w:outlineLvl w:val="5"/>
    </w:pPr>
    <w:rPr>
      <w:rFonts w:ascii="Arial" w:hAnsi="Arial" w:eastAsia="黑体"/>
      <w:b/>
      <w:bCs/>
      <w:sz w:val="24"/>
    </w:rPr>
  </w:style>
  <w:style w:type="paragraph" w:styleId="8">
    <w:name w:val="heading 7"/>
    <w:basedOn w:val="1"/>
    <w:next w:val="1"/>
    <w:qFormat/>
    <w:uiPriority w:val="0"/>
    <w:pPr>
      <w:keepNext/>
      <w:keepLines/>
      <w:spacing w:before="240" w:after="64" w:line="320" w:lineRule="auto"/>
      <w:outlineLvl w:val="6"/>
    </w:pPr>
    <w:rPr>
      <w:b/>
      <w:bCs/>
      <w:sz w:val="24"/>
    </w:rPr>
  </w:style>
  <w:style w:type="paragraph" w:styleId="9">
    <w:name w:val="heading 8"/>
    <w:basedOn w:val="1"/>
    <w:next w:val="1"/>
    <w:qFormat/>
    <w:uiPriority w:val="0"/>
    <w:pPr>
      <w:keepNext/>
      <w:keepLines/>
      <w:spacing w:before="240" w:after="64" w:line="320" w:lineRule="auto"/>
      <w:outlineLvl w:val="7"/>
    </w:pPr>
    <w:rPr>
      <w:rFonts w:ascii="Arial" w:hAnsi="Arial" w:eastAsia="黑体"/>
      <w:sz w:val="24"/>
    </w:rPr>
  </w:style>
  <w:style w:type="paragraph" w:styleId="10">
    <w:name w:val="heading 9"/>
    <w:basedOn w:val="1"/>
    <w:next w:val="1"/>
    <w:qFormat/>
    <w:uiPriority w:val="0"/>
    <w:pPr>
      <w:keepNext/>
      <w:keepLines/>
      <w:spacing w:before="240" w:after="64" w:line="320" w:lineRule="auto"/>
      <w:outlineLvl w:val="8"/>
    </w:pPr>
    <w:rPr>
      <w:rFonts w:ascii="Arial" w:hAnsi="Arial" w:eastAsia="黑体"/>
      <w:szCs w:val="21"/>
    </w:rPr>
  </w:style>
  <w:style w:type="character" w:default="1" w:styleId="40">
    <w:name w:val="Default Paragraph Font"/>
    <w:semiHidden/>
    <w:unhideWhenUsed/>
    <w:uiPriority w:val="1"/>
  </w:style>
  <w:style w:type="table" w:default="1" w:styleId="38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1">
    <w:name w:val="toc 7"/>
    <w:basedOn w:val="12"/>
    <w:next w:val="1"/>
    <w:semiHidden/>
    <w:qFormat/>
    <w:uiPriority w:val="0"/>
  </w:style>
  <w:style w:type="paragraph" w:styleId="12">
    <w:name w:val="toc 6"/>
    <w:basedOn w:val="13"/>
    <w:next w:val="1"/>
    <w:semiHidden/>
    <w:qFormat/>
    <w:uiPriority w:val="0"/>
  </w:style>
  <w:style w:type="paragraph" w:styleId="13">
    <w:name w:val="toc 5"/>
    <w:basedOn w:val="14"/>
    <w:next w:val="1"/>
    <w:semiHidden/>
    <w:qFormat/>
    <w:uiPriority w:val="0"/>
  </w:style>
  <w:style w:type="paragraph" w:styleId="14">
    <w:name w:val="toc 4"/>
    <w:basedOn w:val="15"/>
    <w:next w:val="1"/>
    <w:semiHidden/>
    <w:qFormat/>
    <w:uiPriority w:val="0"/>
  </w:style>
  <w:style w:type="paragraph" w:styleId="15">
    <w:name w:val="toc 3"/>
    <w:basedOn w:val="16"/>
    <w:next w:val="1"/>
    <w:semiHidden/>
    <w:qFormat/>
    <w:uiPriority w:val="0"/>
  </w:style>
  <w:style w:type="paragraph" w:styleId="16">
    <w:name w:val="toc 2"/>
    <w:basedOn w:val="17"/>
    <w:next w:val="1"/>
    <w:semiHidden/>
    <w:uiPriority w:val="0"/>
  </w:style>
  <w:style w:type="paragraph" w:styleId="17">
    <w:name w:val="toc 1"/>
    <w:next w:val="1"/>
    <w:semiHidden/>
    <w:qFormat/>
    <w:uiPriority w:val="0"/>
    <w:pPr>
      <w:jc w:val="both"/>
    </w:pPr>
    <w:rPr>
      <w:rFonts w:ascii="宋体" w:hAnsi="Times New Roman" w:eastAsia="宋体" w:cs="Times New Roman"/>
      <w:sz w:val="21"/>
      <w:lang w:val="en-US" w:eastAsia="zh-CN" w:bidi="ar-SA"/>
    </w:rPr>
  </w:style>
  <w:style w:type="paragraph" w:styleId="18">
    <w:name w:val="Normal Indent"/>
    <w:basedOn w:val="1"/>
    <w:qFormat/>
    <w:uiPriority w:val="0"/>
    <w:pPr>
      <w:ind w:firstLine="420"/>
    </w:pPr>
  </w:style>
  <w:style w:type="paragraph" w:styleId="19">
    <w:name w:val="Document Map"/>
    <w:basedOn w:val="1"/>
    <w:semiHidden/>
    <w:qFormat/>
    <w:uiPriority w:val="0"/>
    <w:pPr>
      <w:shd w:val="clear" w:color="auto" w:fill="000080"/>
    </w:pPr>
  </w:style>
  <w:style w:type="paragraph" w:styleId="20">
    <w:name w:val="toa heading"/>
    <w:basedOn w:val="1"/>
    <w:next w:val="1"/>
    <w:semiHidden/>
    <w:qFormat/>
    <w:uiPriority w:val="0"/>
    <w:pPr>
      <w:widowControl/>
      <w:tabs>
        <w:tab w:val="left" w:pos="720"/>
      </w:tabs>
    </w:pPr>
    <w:rPr>
      <w:b/>
      <w:kern w:val="0"/>
      <w:sz w:val="22"/>
    </w:rPr>
  </w:style>
  <w:style w:type="paragraph" w:styleId="21">
    <w:name w:val="annotation text"/>
    <w:basedOn w:val="1"/>
    <w:link w:val="129"/>
    <w:semiHidden/>
    <w:qFormat/>
    <w:uiPriority w:val="0"/>
    <w:pPr>
      <w:jc w:val="left"/>
    </w:pPr>
  </w:style>
  <w:style w:type="paragraph" w:styleId="22">
    <w:name w:val="Body Text"/>
    <w:basedOn w:val="1"/>
    <w:qFormat/>
    <w:uiPriority w:val="0"/>
    <w:pPr>
      <w:spacing w:after="120"/>
    </w:pPr>
  </w:style>
  <w:style w:type="paragraph" w:styleId="23">
    <w:name w:val="Body Text Indent"/>
    <w:basedOn w:val="1"/>
    <w:qFormat/>
    <w:uiPriority w:val="0"/>
    <w:pPr>
      <w:ind w:left="420" w:hanging="420" w:hangingChars="200"/>
    </w:pPr>
  </w:style>
  <w:style w:type="paragraph" w:styleId="24">
    <w:name w:val="HTML Address"/>
    <w:basedOn w:val="1"/>
    <w:qFormat/>
    <w:uiPriority w:val="0"/>
    <w:rPr>
      <w:i/>
      <w:iCs/>
    </w:rPr>
  </w:style>
  <w:style w:type="paragraph" w:styleId="25">
    <w:name w:val="Plain Text"/>
    <w:basedOn w:val="1"/>
    <w:qFormat/>
    <w:uiPriority w:val="0"/>
    <w:rPr>
      <w:rFonts w:ascii="宋体" w:hAnsi="Courier New"/>
      <w:szCs w:val="21"/>
    </w:rPr>
  </w:style>
  <w:style w:type="paragraph" w:styleId="26">
    <w:name w:val="toc 8"/>
    <w:basedOn w:val="11"/>
    <w:next w:val="1"/>
    <w:semiHidden/>
    <w:qFormat/>
    <w:uiPriority w:val="0"/>
  </w:style>
  <w:style w:type="paragraph" w:styleId="27">
    <w:name w:val="Date"/>
    <w:basedOn w:val="1"/>
    <w:next w:val="1"/>
    <w:qFormat/>
    <w:uiPriority w:val="0"/>
    <w:rPr>
      <w:rFonts w:ascii="黑体" w:eastAsia="黑体"/>
      <w:b/>
    </w:rPr>
  </w:style>
  <w:style w:type="paragraph" w:styleId="28">
    <w:name w:val="Balloon Text"/>
    <w:basedOn w:val="1"/>
    <w:semiHidden/>
    <w:qFormat/>
    <w:uiPriority w:val="0"/>
    <w:rPr>
      <w:sz w:val="18"/>
      <w:szCs w:val="18"/>
    </w:rPr>
  </w:style>
  <w:style w:type="paragraph" w:styleId="29">
    <w:name w:val="footer"/>
    <w:basedOn w:val="1"/>
    <w:link w:val="65"/>
    <w:qFormat/>
    <w:uiPriority w:val="99"/>
    <w:pPr>
      <w:tabs>
        <w:tab w:val="center" w:pos="4153"/>
        <w:tab w:val="right" w:pos="8306"/>
      </w:tabs>
      <w:snapToGrid w:val="0"/>
      <w:ind w:right="210" w:rightChars="100"/>
      <w:jc w:val="right"/>
    </w:pPr>
    <w:rPr>
      <w:sz w:val="18"/>
      <w:szCs w:val="18"/>
    </w:rPr>
  </w:style>
  <w:style w:type="paragraph" w:styleId="30">
    <w:name w:val="header"/>
    <w:basedOn w:val="1"/>
    <w:link w:val="64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31">
    <w:name w:val="footnote text"/>
    <w:basedOn w:val="1"/>
    <w:semiHidden/>
    <w:qFormat/>
    <w:uiPriority w:val="0"/>
    <w:pPr>
      <w:snapToGrid w:val="0"/>
      <w:jc w:val="left"/>
    </w:pPr>
    <w:rPr>
      <w:sz w:val="18"/>
      <w:szCs w:val="18"/>
    </w:rPr>
  </w:style>
  <w:style w:type="paragraph" w:styleId="32">
    <w:name w:val="Body Text Indent 3"/>
    <w:basedOn w:val="1"/>
    <w:qFormat/>
    <w:uiPriority w:val="0"/>
    <w:pPr>
      <w:spacing w:after="120"/>
      <w:ind w:left="420" w:leftChars="200"/>
    </w:pPr>
    <w:rPr>
      <w:sz w:val="16"/>
      <w:szCs w:val="16"/>
    </w:rPr>
  </w:style>
  <w:style w:type="paragraph" w:styleId="33">
    <w:name w:val="toc 9"/>
    <w:basedOn w:val="26"/>
    <w:next w:val="1"/>
    <w:semiHidden/>
    <w:qFormat/>
    <w:uiPriority w:val="0"/>
  </w:style>
  <w:style w:type="paragraph" w:styleId="34">
    <w:name w:val="HTML Preformatted"/>
    <w:basedOn w:val="1"/>
    <w:qFormat/>
    <w:uiPriority w:val="0"/>
    <w:rPr>
      <w:rFonts w:ascii="Courier New" w:hAnsi="Courier New" w:cs="Courier New"/>
      <w:sz w:val="20"/>
    </w:rPr>
  </w:style>
  <w:style w:type="paragraph" w:styleId="35">
    <w:name w:val="Normal (Web)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paragraph" w:styleId="36">
    <w:name w:val="Title"/>
    <w:basedOn w:val="1"/>
    <w:link w:val="63"/>
    <w:qFormat/>
    <w:uiPriority w:val="0"/>
    <w:pPr>
      <w:spacing w:before="240" w:after="60"/>
      <w:jc w:val="center"/>
      <w:outlineLvl w:val="0"/>
    </w:pPr>
    <w:rPr>
      <w:rFonts w:ascii="Arial" w:hAnsi="Arial" w:cs="Arial"/>
      <w:b/>
      <w:bCs/>
      <w:sz w:val="32"/>
      <w:szCs w:val="32"/>
    </w:rPr>
  </w:style>
  <w:style w:type="paragraph" w:styleId="37">
    <w:name w:val="annotation subject"/>
    <w:basedOn w:val="21"/>
    <w:next w:val="21"/>
    <w:semiHidden/>
    <w:qFormat/>
    <w:uiPriority w:val="0"/>
    <w:rPr>
      <w:b/>
      <w:bCs/>
    </w:rPr>
  </w:style>
  <w:style w:type="table" w:styleId="39">
    <w:name w:val="Table Grid"/>
    <w:basedOn w:val="38"/>
    <w:qFormat/>
    <w:uiPriority w:val="59"/>
    <w:rPr>
      <w:rFonts w:ascii="Calibri" w:hAnsi="Calibri"/>
      <w:kern w:val="2"/>
      <w:sz w:val="21"/>
      <w:szCs w:val="22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41">
    <w:name w:val="Strong"/>
    <w:basedOn w:val="40"/>
    <w:qFormat/>
    <w:uiPriority w:val="0"/>
    <w:rPr>
      <w:b/>
    </w:rPr>
  </w:style>
  <w:style w:type="character" w:styleId="42">
    <w:name w:val="page number"/>
    <w:qFormat/>
    <w:uiPriority w:val="0"/>
    <w:rPr>
      <w:rFonts w:ascii="Times New Roman" w:hAnsi="Times New Roman" w:eastAsia="宋体"/>
      <w:sz w:val="18"/>
    </w:rPr>
  </w:style>
  <w:style w:type="character" w:styleId="43">
    <w:name w:val="FollowedHyperlink"/>
    <w:qFormat/>
    <w:uiPriority w:val="0"/>
    <w:rPr>
      <w:color w:val="800080"/>
      <w:u w:val="single"/>
    </w:rPr>
  </w:style>
  <w:style w:type="character" w:styleId="44">
    <w:name w:val="HTML Definition"/>
    <w:uiPriority w:val="0"/>
    <w:rPr>
      <w:i/>
      <w:iCs/>
    </w:rPr>
  </w:style>
  <w:style w:type="character" w:styleId="45">
    <w:name w:val="HTML Typewriter"/>
    <w:uiPriority w:val="0"/>
    <w:rPr>
      <w:rFonts w:ascii="Courier New" w:hAnsi="Courier New"/>
      <w:sz w:val="20"/>
      <w:szCs w:val="20"/>
    </w:rPr>
  </w:style>
  <w:style w:type="character" w:styleId="46">
    <w:name w:val="HTML Acronym"/>
    <w:basedOn w:val="40"/>
    <w:qFormat/>
    <w:uiPriority w:val="0"/>
  </w:style>
  <w:style w:type="character" w:styleId="47">
    <w:name w:val="HTML Variable"/>
    <w:qFormat/>
    <w:uiPriority w:val="0"/>
    <w:rPr>
      <w:i/>
      <w:iCs/>
    </w:rPr>
  </w:style>
  <w:style w:type="character" w:styleId="48">
    <w:name w:val="Hyperlink"/>
    <w:qFormat/>
    <w:uiPriority w:val="0"/>
    <w:rPr>
      <w:rFonts w:ascii="Times New Roman" w:hAnsi="Times New Roman" w:eastAsia="宋体"/>
      <w:color w:val="auto"/>
      <w:spacing w:val="0"/>
      <w:w w:val="100"/>
      <w:position w:val="0"/>
      <w:sz w:val="21"/>
      <w:u w:val="none"/>
      <w:vertAlign w:val="baseline"/>
    </w:rPr>
  </w:style>
  <w:style w:type="character" w:styleId="49">
    <w:name w:val="HTML Code"/>
    <w:qFormat/>
    <w:uiPriority w:val="0"/>
    <w:rPr>
      <w:rFonts w:ascii="Courier New" w:hAnsi="Courier New"/>
      <w:sz w:val="20"/>
      <w:szCs w:val="20"/>
    </w:rPr>
  </w:style>
  <w:style w:type="character" w:styleId="50">
    <w:name w:val="annotation reference"/>
    <w:semiHidden/>
    <w:qFormat/>
    <w:uiPriority w:val="0"/>
    <w:rPr>
      <w:sz w:val="21"/>
      <w:szCs w:val="21"/>
    </w:rPr>
  </w:style>
  <w:style w:type="character" w:styleId="51">
    <w:name w:val="HTML Cite"/>
    <w:qFormat/>
    <w:uiPriority w:val="0"/>
    <w:rPr>
      <w:i/>
      <w:iCs/>
    </w:rPr>
  </w:style>
  <w:style w:type="character" w:styleId="52">
    <w:name w:val="footnote reference"/>
    <w:semiHidden/>
    <w:qFormat/>
    <w:uiPriority w:val="0"/>
    <w:rPr>
      <w:vertAlign w:val="superscript"/>
    </w:rPr>
  </w:style>
  <w:style w:type="character" w:styleId="53">
    <w:name w:val="HTML Keyboard"/>
    <w:qFormat/>
    <w:uiPriority w:val="0"/>
    <w:rPr>
      <w:rFonts w:ascii="Courier New" w:hAnsi="Courier New"/>
      <w:sz w:val="20"/>
      <w:szCs w:val="20"/>
    </w:rPr>
  </w:style>
  <w:style w:type="character" w:styleId="54">
    <w:name w:val="HTML Sample"/>
    <w:qFormat/>
    <w:uiPriority w:val="0"/>
    <w:rPr>
      <w:rFonts w:ascii="Courier New" w:hAnsi="Courier New"/>
    </w:rPr>
  </w:style>
  <w:style w:type="character" w:customStyle="1" w:styleId="55">
    <w:name w:val="发布"/>
    <w:qFormat/>
    <w:uiPriority w:val="0"/>
    <w:rPr>
      <w:rFonts w:ascii="黑体" w:eastAsia="黑体"/>
      <w:spacing w:val="22"/>
      <w:w w:val="100"/>
      <w:position w:val="3"/>
      <w:sz w:val="28"/>
    </w:rPr>
  </w:style>
  <w:style w:type="character" w:customStyle="1" w:styleId="56">
    <w:name w:val="个人答复风格"/>
    <w:qFormat/>
    <w:uiPriority w:val="0"/>
    <w:rPr>
      <w:rFonts w:ascii="Arial" w:hAnsi="Arial" w:eastAsia="宋体" w:cs="Arial"/>
      <w:color w:val="auto"/>
      <w:sz w:val="20"/>
    </w:rPr>
  </w:style>
  <w:style w:type="character" w:customStyle="1" w:styleId="57">
    <w:name w:val="个人撰写风格"/>
    <w:qFormat/>
    <w:uiPriority w:val="0"/>
    <w:rPr>
      <w:rFonts w:ascii="Arial" w:hAnsi="Arial" w:eastAsia="宋体" w:cs="Arial"/>
      <w:color w:val="auto"/>
      <w:sz w:val="20"/>
    </w:rPr>
  </w:style>
  <w:style w:type="character" w:customStyle="1" w:styleId="58">
    <w:name w:val="mtitle1"/>
    <w:qFormat/>
    <w:uiPriority w:val="0"/>
    <w:rPr>
      <w:rFonts w:hint="default" w:ascii="ˎ̥" w:hAnsi="ˎ̥"/>
      <w:color w:val="000000"/>
      <w:sz w:val="21"/>
      <w:szCs w:val="21"/>
    </w:rPr>
  </w:style>
  <w:style w:type="character" w:customStyle="1" w:styleId="59">
    <w:name w:val="段 Char"/>
    <w:link w:val="60"/>
    <w:qFormat/>
    <w:uiPriority w:val="0"/>
    <w:rPr>
      <w:rFonts w:ascii="宋体"/>
      <w:sz w:val="21"/>
      <w:lang w:val="en-US" w:eastAsia="zh-CN" w:bidi="ar-SA"/>
    </w:rPr>
  </w:style>
  <w:style w:type="paragraph" w:customStyle="1" w:styleId="60">
    <w:name w:val="段"/>
    <w:link w:val="59"/>
    <w:qFormat/>
    <w:uiPriority w:val="0"/>
    <w:pPr>
      <w:ind w:firstLine="200" w:firstLineChars="200"/>
      <w:jc w:val="both"/>
    </w:pPr>
    <w:rPr>
      <w:rFonts w:ascii="宋体" w:hAnsi="Times New Roman" w:eastAsia="宋体" w:cs="Times New Roman"/>
      <w:sz w:val="21"/>
      <w:lang w:val="en-US" w:eastAsia="zh-CN" w:bidi="ar-SA"/>
    </w:rPr>
  </w:style>
  <w:style w:type="character" w:customStyle="1" w:styleId="61">
    <w:name w:val="goog_qs-tidbit-1"/>
    <w:basedOn w:val="40"/>
    <w:qFormat/>
    <w:uiPriority w:val="0"/>
  </w:style>
  <w:style w:type="character" w:customStyle="1" w:styleId="62">
    <w:name w:val="goog_qs-tidbit goog_qs-tidbit-1"/>
    <w:basedOn w:val="40"/>
    <w:qFormat/>
    <w:uiPriority w:val="0"/>
  </w:style>
  <w:style w:type="character" w:customStyle="1" w:styleId="63">
    <w:name w:val="标题 Char"/>
    <w:link w:val="36"/>
    <w:qFormat/>
    <w:locked/>
    <w:uiPriority w:val="0"/>
    <w:rPr>
      <w:rFonts w:ascii="Arial" w:hAnsi="Arial" w:eastAsia="宋体" w:cs="Arial"/>
      <w:b/>
      <w:bCs/>
      <w:kern w:val="2"/>
      <w:sz w:val="32"/>
      <w:szCs w:val="32"/>
      <w:lang w:val="en-US" w:eastAsia="zh-CN" w:bidi="ar-SA"/>
    </w:rPr>
  </w:style>
  <w:style w:type="character" w:customStyle="1" w:styleId="64">
    <w:name w:val="页眉 Char"/>
    <w:link w:val="30"/>
    <w:qFormat/>
    <w:locked/>
    <w:uiPriority w:val="0"/>
    <w:rPr>
      <w:rFonts w:eastAsia="宋体"/>
      <w:kern w:val="2"/>
      <w:sz w:val="18"/>
      <w:szCs w:val="18"/>
      <w:lang w:val="en-US" w:eastAsia="zh-CN" w:bidi="ar-SA"/>
    </w:rPr>
  </w:style>
  <w:style w:type="character" w:customStyle="1" w:styleId="65">
    <w:name w:val="页脚 Char"/>
    <w:link w:val="29"/>
    <w:qFormat/>
    <w:uiPriority w:val="99"/>
    <w:rPr>
      <w:kern w:val="2"/>
      <w:sz w:val="18"/>
      <w:szCs w:val="18"/>
    </w:rPr>
  </w:style>
  <w:style w:type="paragraph" w:customStyle="1" w:styleId="66">
    <w:name w:val="示例"/>
    <w:next w:val="60"/>
    <w:qFormat/>
    <w:uiPriority w:val="0"/>
    <w:pPr>
      <w:numPr>
        <w:ilvl w:val="0"/>
        <w:numId w:val="1"/>
      </w:numPr>
      <w:tabs>
        <w:tab w:val="left" w:pos="816"/>
        <w:tab w:val="clear" w:pos="1120"/>
      </w:tabs>
      <w:ind w:firstLine="419" w:firstLineChars="233"/>
      <w:jc w:val="both"/>
    </w:pPr>
    <w:rPr>
      <w:rFonts w:ascii="宋体" w:hAnsi="Times New Roman" w:eastAsia="宋体" w:cs="Times New Roman"/>
      <w:sz w:val="18"/>
      <w:lang w:val="en-US" w:eastAsia="zh-CN" w:bidi="ar-SA"/>
    </w:rPr>
  </w:style>
  <w:style w:type="paragraph" w:customStyle="1" w:styleId="67">
    <w:name w:val="二级无标题条"/>
    <w:basedOn w:val="1"/>
    <w:qFormat/>
    <w:uiPriority w:val="0"/>
    <w:pPr>
      <w:numPr>
        <w:ilvl w:val="3"/>
        <w:numId w:val="2"/>
      </w:numPr>
    </w:pPr>
  </w:style>
  <w:style w:type="paragraph" w:customStyle="1" w:styleId="68">
    <w:name w:val="其他发布部门"/>
    <w:basedOn w:val="69"/>
    <w:qFormat/>
    <w:uiPriority w:val="0"/>
    <w:pPr>
      <w:spacing w:line="0" w:lineRule="atLeast"/>
    </w:pPr>
    <w:rPr>
      <w:rFonts w:ascii="黑体" w:eastAsia="黑体"/>
      <w:b w:val="0"/>
    </w:rPr>
  </w:style>
  <w:style w:type="paragraph" w:customStyle="1" w:styleId="69">
    <w:name w:val="发布部门"/>
    <w:next w:val="60"/>
    <w:qFormat/>
    <w:uiPriority w:val="0"/>
    <w:pPr>
      <w:jc w:val="center"/>
    </w:pPr>
    <w:rPr>
      <w:rFonts w:ascii="宋体" w:hAnsi="Times New Roman" w:eastAsia="宋体" w:cs="Times New Roman"/>
      <w:b/>
      <w:spacing w:val="20"/>
      <w:w w:val="135"/>
      <w:sz w:val="36"/>
      <w:lang w:val="en-US" w:eastAsia="zh-CN" w:bidi="ar-SA"/>
    </w:rPr>
  </w:style>
  <w:style w:type="paragraph" w:customStyle="1" w:styleId="70">
    <w:name w:val="标准书眉_偶数页"/>
    <w:basedOn w:val="71"/>
    <w:next w:val="1"/>
    <w:qFormat/>
    <w:uiPriority w:val="0"/>
    <w:pPr>
      <w:tabs>
        <w:tab w:val="center" w:pos="4154"/>
        <w:tab w:val="right" w:pos="8306"/>
      </w:tabs>
      <w:jc w:val="left"/>
    </w:pPr>
  </w:style>
  <w:style w:type="paragraph" w:customStyle="1" w:styleId="71">
    <w:name w:val="标准书眉_奇数页"/>
    <w:next w:val="1"/>
    <w:qFormat/>
    <w:uiPriority w:val="0"/>
    <w:pPr>
      <w:tabs>
        <w:tab w:val="center" w:pos="4154"/>
        <w:tab w:val="right" w:pos="8306"/>
      </w:tabs>
      <w:spacing w:after="120"/>
      <w:jc w:val="right"/>
    </w:pPr>
    <w:rPr>
      <w:rFonts w:ascii="Times New Roman" w:hAnsi="Times New Roman" w:eastAsia="宋体" w:cs="Times New Roman"/>
      <w:sz w:val="21"/>
      <w:lang w:val="en-US" w:eastAsia="zh-CN" w:bidi="ar-SA"/>
    </w:rPr>
  </w:style>
  <w:style w:type="paragraph" w:customStyle="1" w:styleId="72">
    <w:name w:val="附录四级条标题"/>
    <w:basedOn w:val="73"/>
    <w:next w:val="60"/>
    <w:qFormat/>
    <w:uiPriority w:val="0"/>
    <w:pPr>
      <w:numPr>
        <w:ilvl w:val="5"/>
      </w:numPr>
      <w:outlineLvl w:val="5"/>
    </w:pPr>
  </w:style>
  <w:style w:type="paragraph" w:customStyle="1" w:styleId="73">
    <w:name w:val="附录三级条标题"/>
    <w:basedOn w:val="74"/>
    <w:next w:val="60"/>
    <w:qFormat/>
    <w:uiPriority w:val="0"/>
    <w:pPr>
      <w:numPr>
        <w:ilvl w:val="4"/>
      </w:numPr>
      <w:outlineLvl w:val="4"/>
    </w:pPr>
  </w:style>
  <w:style w:type="paragraph" w:customStyle="1" w:styleId="74">
    <w:name w:val="附录二级条标题"/>
    <w:basedOn w:val="75"/>
    <w:next w:val="60"/>
    <w:qFormat/>
    <w:uiPriority w:val="0"/>
    <w:pPr>
      <w:numPr>
        <w:ilvl w:val="3"/>
      </w:numPr>
      <w:outlineLvl w:val="3"/>
    </w:pPr>
  </w:style>
  <w:style w:type="paragraph" w:customStyle="1" w:styleId="75">
    <w:name w:val="附录一级条标题"/>
    <w:basedOn w:val="76"/>
    <w:next w:val="60"/>
    <w:uiPriority w:val="0"/>
    <w:pPr>
      <w:numPr>
        <w:ilvl w:val="2"/>
      </w:numPr>
      <w:autoSpaceDN w:val="0"/>
      <w:spacing w:beforeLines="0" w:afterLines="0"/>
      <w:outlineLvl w:val="2"/>
    </w:pPr>
  </w:style>
  <w:style w:type="paragraph" w:customStyle="1" w:styleId="76">
    <w:name w:val="附录章标题"/>
    <w:next w:val="60"/>
    <w:qFormat/>
    <w:uiPriority w:val="0"/>
    <w:pPr>
      <w:numPr>
        <w:ilvl w:val="1"/>
        <w:numId w:val="3"/>
      </w:numPr>
      <w:wordWrap w:val="0"/>
      <w:overflowPunct w:val="0"/>
      <w:autoSpaceDE w:val="0"/>
      <w:spacing w:beforeLines="50" w:afterLines="50"/>
      <w:jc w:val="both"/>
      <w:textAlignment w:val="baseline"/>
      <w:outlineLvl w:val="1"/>
    </w:pPr>
    <w:rPr>
      <w:rFonts w:ascii="黑体" w:hAnsi="Times New Roman" w:eastAsia="黑体" w:cs="Times New Roman"/>
      <w:kern w:val="21"/>
      <w:sz w:val="21"/>
      <w:lang w:val="en-US" w:eastAsia="zh-CN" w:bidi="ar-SA"/>
    </w:rPr>
  </w:style>
  <w:style w:type="paragraph" w:customStyle="1" w:styleId="77">
    <w:name w:val="一级条标题"/>
    <w:basedOn w:val="78"/>
    <w:next w:val="60"/>
    <w:qFormat/>
    <w:uiPriority w:val="0"/>
    <w:pPr>
      <w:spacing w:beforeLines="0" w:afterLines="0"/>
      <w:outlineLvl w:val="2"/>
    </w:pPr>
  </w:style>
  <w:style w:type="paragraph" w:customStyle="1" w:styleId="78">
    <w:name w:val="章标题"/>
    <w:next w:val="60"/>
    <w:qFormat/>
    <w:uiPriority w:val="0"/>
    <w:pPr>
      <w:spacing w:beforeLines="50" w:afterLines="50"/>
      <w:jc w:val="both"/>
      <w:outlineLvl w:val="1"/>
    </w:pPr>
    <w:rPr>
      <w:rFonts w:ascii="黑体" w:hAnsi="Times New Roman" w:eastAsia="黑体" w:cs="Times New Roman"/>
      <w:sz w:val="21"/>
      <w:lang w:val="en-US" w:eastAsia="zh-CN" w:bidi="ar-SA"/>
    </w:rPr>
  </w:style>
  <w:style w:type="paragraph" w:customStyle="1" w:styleId="79">
    <w:name w:val="前言、引言标题"/>
    <w:next w:val="1"/>
    <w:qFormat/>
    <w:uiPriority w:val="0"/>
    <w:pPr>
      <w:numPr>
        <w:ilvl w:val="0"/>
        <w:numId w:val="4"/>
      </w:numPr>
      <w:shd w:val="clear" w:color="FFFFFF" w:fill="FFFFFF"/>
      <w:spacing w:before="640" w:after="560"/>
      <w:jc w:val="center"/>
      <w:outlineLvl w:val="0"/>
    </w:pPr>
    <w:rPr>
      <w:rFonts w:ascii="黑体" w:hAnsi="Times New Roman" w:eastAsia="黑体" w:cs="Times New Roman"/>
      <w:sz w:val="32"/>
      <w:lang w:val="en-US" w:eastAsia="zh-CN" w:bidi="ar-SA"/>
    </w:rPr>
  </w:style>
  <w:style w:type="paragraph" w:customStyle="1" w:styleId="80">
    <w:name w:val="标准书脚_偶数页"/>
    <w:qFormat/>
    <w:uiPriority w:val="0"/>
    <w:pPr>
      <w:spacing w:before="120"/>
    </w:pPr>
    <w:rPr>
      <w:rFonts w:ascii="Times New Roman" w:hAnsi="Times New Roman" w:eastAsia="宋体" w:cs="Times New Roman"/>
      <w:sz w:val="18"/>
      <w:lang w:val="en-US" w:eastAsia="zh-CN" w:bidi="ar-SA"/>
    </w:rPr>
  </w:style>
  <w:style w:type="paragraph" w:customStyle="1" w:styleId="81">
    <w:name w:val="三级条标题"/>
    <w:basedOn w:val="82"/>
    <w:next w:val="60"/>
    <w:qFormat/>
    <w:uiPriority w:val="0"/>
    <w:pPr>
      <w:numPr>
        <w:ilvl w:val="4"/>
        <w:numId w:val="4"/>
      </w:numPr>
      <w:outlineLvl w:val="4"/>
    </w:pPr>
  </w:style>
  <w:style w:type="paragraph" w:customStyle="1" w:styleId="82">
    <w:name w:val="二级条标题"/>
    <w:basedOn w:val="77"/>
    <w:next w:val="60"/>
    <w:qFormat/>
    <w:uiPriority w:val="0"/>
    <w:pPr>
      <w:outlineLvl w:val="3"/>
    </w:pPr>
  </w:style>
  <w:style w:type="paragraph" w:customStyle="1" w:styleId="83">
    <w:name w:val="标准称谓"/>
    <w:next w:val="1"/>
    <w:qFormat/>
    <w:uiPriority w:val="0"/>
    <w:pPr>
      <w:widowControl w:val="0"/>
      <w:kinsoku w:val="0"/>
      <w:overflowPunct w:val="0"/>
      <w:autoSpaceDE w:val="0"/>
      <w:autoSpaceDN w:val="0"/>
      <w:spacing w:line="0" w:lineRule="atLeast"/>
      <w:jc w:val="distribute"/>
    </w:pPr>
    <w:rPr>
      <w:rFonts w:ascii="宋体" w:hAnsi="Times New Roman" w:eastAsia="宋体" w:cs="Times New Roman"/>
      <w:b/>
      <w:bCs/>
      <w:spacing w:val="20"/>
      <w:w w:val="148"/>
      <w:sz w:val="52"/>
      <w:lang w:val="en-US" w:eastAsia="zh-CN" w:bidi="ar-SA"/>
    </w:rPr>
  </w:style>
  <w:style w:type="paragraph" w:customStyle="1" w:styleId="84">
    <w:name w:val="附录五级条标题"/>
    <w:basedOn w:val="72"/>
    <w:next w:val="60"/>
    <w:qFormat/>
    <w:uiPriority w:val="0"/>
    <w:pPr>
      <w:numPr>
        <w:ilvl w:val="6"/>
      </w:numPr>
      <w:outlineLvl w:val="6"/>
    </w:pPr>
  </w:style>
  <w:style w:type="paragraph" w:customStyle="1" w:styleId="85">
    <w:name w:val="标准书眉一"/>
    <w:qFormat/>
    <w:uiPriority w:val="0"/>
    <w:pPr>
      <w:jc w:val="both"/>
    </w:pPr>
    <w:rPr>
      <w:rFonts w:ascii="Times New Roman" w:hAnsi="Times New Roman" w:eastAsia="宋体" w:cs="Times New Roman"/>
      <w:lang w:val="en-US" w:eastAsia="zh-CN" w:bidi="ar-SA"/>
    </w:rPr>
  </w:style>
  <w:style w:type="paragraph" w:customStyle="1" w:styleId="86">
    <w:name w:val="标准标志"/>
    <w:next w:val="1"/>
    <w:qFormat/>
    <w:uiPriority w:val="0"/>
    <w:pPr>
      <w:shd w:val="solid" w:color="FFFFFF" w:fill="FFFFFF"/>
      <w:spacing w:line="0" w:lineRule="atLeast"/>
      <w:jc w:val="right"/>
    </w:pPr>
    <w:rPr>
      <w:rFonts w:ascii="Times New Roman" w:hAnsi="Times New Roman" w:eastAsia="宋体" w:cs="Times New Roman"/>
      <w:b/>
      <w:w w:val="130"/>
      <w:sz w:val="96"/>
      <w:lang w:val="en-US" w:eastAsia="zh-CN" w:bidi="ar-SA"/>
    </w:rPr>
  </w:style>
  <w:style w:type="paragraph" w:customStyle="1" w:styleId="87">
    <w:name w:val="标准书脚_奇数页"/>
    <w:qFormat/>
    <w:uiPriority w:val="0"/>
    <w:pPr>
      <w:spacing w:before="120"/>
      <w:jc w:val="right"/>
    </w:pPr>
    <w:rPr>
      <w:rFonts w:ascii="Times New Roman" w:hAnsi="Times New Roman" w:eastAsia="宋体" w:cs="Times New Roman"/>
      <w:sz w:val="18"/>
      <w:lang w:val="en-US" w:eastAsia="zh-CN" w:bidi="ar-SA"/>
    </w:rPr>
  </w:style>
  <w:style w:type="paragraph" w:customStyle="1" w:styleId="88">
    <w:name w:val="其他标准称谓"/>
    <w:qFormat/>
    <w:uiPriority w:val="0"/>
    <w:pPr>
      <w:spacing w:line="0" w:lineRule="atLeast"/>
      <w:jc w:val="distribute"/>
    </w:pPr>
    <w:rPr>
      <w:rFonts w:ascii="黑体" w:hAnsi="宋体" w:eastAsia="黑体" w:cs="Times New Roman"/>
      <w:sz w:val="52"/>
      <w:lang w:val="en-US" w:eastAsia="zh-CN" w:bidi="ar-SA"/>
    </w:rPr>
  </w:style>
  <w:style w:type="paragraph" w:customStyle="1" w:styleId="89">
    <w:name w:val="参考文献、索引标题"/>
    <w:basedOn w:val="79"/>
    <w:next w:val="1"/>
    <w:qFormat/>
    <w:uiPriority w:val="0"/>
    <w:pPr>
      <w:numPr>
        <w:numId w:val="0"/>
      </w:numPr>
      <w:spacing w:after="200"/>
    </w:pPr>
    <w:rPr>
      <w:sz w:val="21"/>
    </w:rPr>
  </w:style>
  <w:style w:type="paragraph" w:customStyle="1" w:styleId="90">
    <w:name w:val="发布日期"/>
    <w:qFormat/>
    <w:uiPriority w:val="0"/>
    <w:rPr>
      <w:rFonts w:ascii="Times New Roman" w:hAnsi="Times New Roman" w:eastAsia="黑体" w:cs="Times New Roman"/>
      <w:sz w:val="28"/>
      <w:lang w:val="en-US" w:eastAsia="zh-CN" w:bidi="ar-SA"/>
    </w:rPr>
  </w:style>
  <w:style w:type="paragraph" w:customStyle="1" w:styleId="91">
    <w:name w:val="封面标准号1"/>
    <w:uiPriority w:val="0"/>
    <w:pPr>
      <w:widowControl w:val="0"/>
      <w:kinsoku w:val="0"/>
      <w:overflowPunct w:val="0"/>
      <w:autoSpaceDE w:val="0"/>
      <w:autoSpaceDN w:val="0"/>
      <w:spacing w:before="308"/>
      <w:jc w:val="right"/>
      <w:textAlignment w:val="center"/>
    </w:pPr>
    <w:rPr>
      <w:rFonts w:ascii="Times New Roman" w:hAnsi="Times New Roman" w:eastAsia="宋体" w:cs="Times New Roman"/>
      <w:sz w:val="28"/>
      <w:lang w:val="en-US" w:eastAsia="zh-CN" w:bidi="ar-SA"/>
    </w:rPr>
  </w:style>
  <w:style w:type="paragraph" w:customStyle="1" w:styleId="92">
    <w:name w:val="实施日期"/>
    <w:basedOn w:val="90"/>
    <w:qFormat/>
    <w:uiPriority w:val="0"/>
    <w:pPr>
      <w:jc w:val="right"/>
    </w:pPr>
  </w:style>
  <w:style w:type="paragraph" w:customStyle="1" w:styleId="93">
    <w:name w:val="封面标准号2"/>
    <w:basedOn w:val="91"/>
    <w:qFormat/>
    <w:uiPriority w:val="0"/>
    <w:pPr>
      <w:adjustRightInd w:val="0"/>
      <w:spacing w:before="357" w:line="280" w:lineRule="exact"/>
    </w:pPr>
  </w:style>
  <w:style w:type="paragraph" w:customStyle="1" w:styleId="94">
    <w:name w:val="封面标准代替信息"/>
    <w:basedOn w:val="93"/>
    <w:qFormat/>
    <w:uiPriority w:val="0"/>
    <w:pPr>
      <w:spacing w:before="57"/>
    </w:pPr>
    <w:rPr>
      <w:rFonts w:ascii="宋体"/>
      <w:sz w:val="21"/>
    </w:rPr>
  </w:style>
  <w:style w:type="paragraph" w:customStyle="1" w:styleId="95">
    <w:name w:val="封面标准名称"/>
    <w:qFormat/>
    <w:uiPriority w:val="0"/>
    <w:pPr>
      <w:widowControl w:val="0"/>
      <w:spacing w:line="680" w:lineRule="exact"/>
      <w:jc w:val="center"/>
      <w:textAlignment w:val="center"/>
    </w:pPr>
    <w:rPr>
      <w:rFonts w:ascii="黑体" w:hAnsi="Times New Roman" w:eastAsia="黑体" w:cs="Times New Roman"/>
      <w:sz w:val="52"/>
      <w:lang w:val="en-US" w:eastAsia="zh-CN" w:bidi="ar-SA"/>
    </w:rPr>
  </w:style>
  <w:style w:type="paragraph" w:customStyle="1" w:styleId="96">
    <w:name w:val="封面标准文稿编辑信息"/>
    <w:qFormat/>
    <w:uiPriority w:val="0"/>
    <w:pPr>
      <w:spacing w:before="180" w:line="180" w:lineRule="exact"/>
      <w:jc w:val="center"/>
    </w:pPr>
    <w:rPr>
      <w:rFonts w:ascii="宋体" w:hAnsi="Times New Roman" w:eastAsia="宋体" w:cs="Times New Roman"/>
      <w:sz w:val="21"/>
      <w:lang w:val="en-US" w:eastAsia="zh-CN" w:bidi="ar-SA"/>
    </w:rPr>
  </w:style>
  <w:style w:type="paragraph" w:customStyle="1" w:styleId="97">
    <w:name w:val="封面标准文稿类别"/>
    <w:qFormat/>
    <w:uiPriority w:val="0"/>
    <w:pPr>
      <w:spacing w:before="440" w:line="400" w:lineRule="exact"/>
      <w:jc w:val="center"/>
    </w:pPr>
    <w:rPr>
      <w:rFonts w:ascii="宋体" w:hAnsi="Times New Roman" w:eastAsia="宋体" w:cs="Times New Roman"/>
      <w:sz w:val="24"/>
      <w:lang w:val="en-US" w:eastAsia="zh-CN" w:bidi="ar-SA"/>
    </w:rPr>
  </w:style>
  <w:style w:type="paragraph" w:customStyle="1" w:styleId="98">
    <w:name w:val="封面标准英文名称"/>
    <w:qFormat/>
    <w:uiPriority w:val="0"/>
    <w:pPr>
      <w:widowControl w:val="0"/>
      <w:spacing w:before="370" w:line="400" w:lineRule="exact"/>
      <w:jc w:val="center"/>
    </w:pPr>
    <w:rPr>
      <w:rFonts w:ascii="Times New Roman" w:hAnsi="Times New Roman" w:eastAsia="宋体" w:cs="Times New Roman"/>
      <w:sz w:val="28"/>
      <w:lang w:val="en-US" w:eastAsia="zh-CN" w:bidi="ar-SA"/>
    </w:rPr>
  </w:style>
  <w:style w:type="paragraph" w:customStyle="1" w:styleId="99">
    <w:name w:val="封面一致性程度标识"/>
    <w:qFormat/>
    <w:uiPriority w:val="0"/>
    <w:pPr>
      <w:spacing w:before="440" w:line="400" w:lineRule="exact"/>
      <w:jc w:val="center"/>
    </w:pPr>
    <w:rPr>
      <w:rFonts w:ascii="宋体" w:hAnsi="Times New Roman" w:eastAsia="宋体" w:cs="Times New Roman"/>
      <w:sz w:val="28"/>
      <w:lang w:val="en-US" w:eastAsia="zh-CN" w:bidi="ar-SA"/>
    </w:rPr>
  </w:style>
  <w:style w:type="paragraph" w:customStyle="1" w:styleId="100">
    <w:name w:val="封面正文"/>
    <w:qFormat/>
    <w:uiPriority w:val="0"/>
    <w:pPr>
      <w:jc w:val="both"/>
    </w:pPr>
    <w:rPr>
      <w:rFonts w:ascii="Times New Roman" w:hAnsi="Times New Roman" w:eastAsia="宋体" w:cs="Times New Roman"/>
      <w:lang w:val="en-US" w:eastAsia="zh-CN" w:bidi="ar-SA"/>
    </w:rPr>
  </w:style>
  <w:style w:type="paragraph" w:customStyle="1" w:styleId="101">
    <w:name w:val="附录标识"/>
    <w:basedOn w:val="79"/>
    <w:qFormat/>
    <w:uiPriority w:val="0"/>
    <w:pPr>
      <w:numPr>
        <w:ilvl w:val="0"/>
        <w:numId w:val="3"/>
      </w:numPr>
      <w:tabs>
        <w:tab w:val="left" w:pos="6405"/>
      </w:tabs>
      <w:spacing w:after="200"/>
    </w:pPr>
    <w:rPr>
      <w:sz w:val="21"/>
    </w:rPr>
  </w:style>
  <w:style w:type="paragraph" w:customStyle="1" w:styleId="102">
    <w:name w:val="附录表标题"/>
    <w:next w:val="60"/>
    <w:uiPriority w:val="0"/>
    <w:pPr>
      <w:jc w:val="center"/>
      <w:textAlignment w:val="baseline"/>
    </w:pPr>
    <w:rPr>
      <w:rFonts w:ascii="黑体" w:hAnsi="Times New Roman" w:eastAsia="黑体" w:cs="Times New Roman"/>
      <w:kern w:val="21"/>
      <w:sz w:val="21"/>
      <w:lang w:val="en-US" w:eastAsia="zh-CN" w:bidi="ar-SA"/>
    </w:rPr>
  </w:style>
  <w:style w:type="paragraph" w:customStyle="1" w:styleId="103">
    <w:name w:val="附录图标题"/>
    <w:next w:val="60"/>
    <w:qFormat/>
    <w:uiPriority w:val="0"/>
    <w:pPr>
      <w:jc w:val="center"/>
    </w:pPr>
    <w:rPr>
      <w:rFonts w:ascii="黑体" w:hAnsi="Times New Roman" w:eastAsia="黑体" w:cs="Times New Roman"/>
      <w:sz w:val="21"/>
      <w:lang w:val="en-US" w:eastAsia="zh-CN" w:bidi="ar-SA"/>
    </w:rPr>
  </w:style>
  <w:style w:type="paragraph" w:customStyle="1" w:styleId="104">
    <w:name w:val="列项——"/>
    <w:qFormat/>
    <w:uiPriority w:val="0"/>
    <w:pPr>
      <w:widowControl w:val="0"/>
      <w:numPr>
        <w:ilvl w:val="0"/>
        <w:numId w:val="5"/>
      </w:numPr>
      <w:tabs>
        <w:tab w:val="left" w:pos="854"/>
        <w:tab w:val="clear" w:pos="1140"/>
      </w:tabs>
      <w:ind w:left="200" w:leftChars="200" w:hanging="200" w:hangingChars="200"/>
      <w:jc w:val="both"/>
    </w:pPr>
    <w:rPr>
      <w:rFonts w:ascii="宋体" w:hAnsi="Times New Roman" w:eastAsia="宋体" w:cs="Times New Roman"/>
      <w:sz w:val="21"/>
      <w:lang w:val="en-US" w:eastAsia="zh-CN" w:bidi="ar-SA"/>
    </w:rPr>
  </w:style>
  <w:style w:type="paragraph" w:customStyle="1" w:styleId="105">
    <w:name w:val="列项·"/>
    <w:qFormat/>
    <w:uiPriority w:val="0"/>
    <w:pPr>
      <w:numPr>
        <w:ilvl w:val="0"/>
        <w:numId w:val="6"/>
      </w:numPr>
      <w:tabs>
        <w:tab w:val="left" w:pos="840"/>
        <w:tab w:val="clear" w:pos="1140"/>
      </w:tabs>
      <w:ind w:left="840" w:leftChars="200" w:hanging="420" w:hangingChars="200"/>
      <w:jc w:val="both"/>
    </w:pPr>
    <w:rPr>
      <w:rFonts w:ascii="宋体" w:hAnsi="Times New Roman" w:eastAsia="宋体" w:cs="Times New Roman"/>
      <w:sz w:val="21"/>
      <w:lang w:val="en-US" w:eastAsia="zh-CN" w:bidi="ar-SA"/>
    </w:rPr>
  </w:style>
  <w:style w:type="paragraph" w:customStyle="1" w:styleId="106">
    <w:name w:val="目次、标准名称标题"/>
    <w:basedOn w:val="79"/>
    <w:next w:val="60"/>
    <w:qFormat/>
    <w:uiPriority w:val="0"/>
    <w:pPr>
      <w:numPr>
        <w:numId w:val="0"/>
      </w:numPr>
      <w:spacing w:line="460" w:lineRule="exact"/>
    </w:pPr>
  </w:style>
  <w:style w:type="paragraph" w:customStyle="1" w:styleId="107">
    <w:name w:val="目次、索引正文"/>
    <w:qFormat/>
    <w:uiPriority w:val="0"/>
    <w:pPr>
      <w:spacing w:line="320" w:lineRule="exact"/>
      <w:jc w:val="both"/>
    </w:pPr>
    <w:rPr>
      <w:rFonts w:ascii="宋体" w:hAnsi="Times New Roman" w:eastAsia="宋体" w:cs="Times New Roman"/>
      <w:sz w:val="21"/>
      <w:lang w:val="en-US" w:eastAsia="zh-CN" w:bidi="ar-SA"/>
    </w:rPr>
  </w:style>
  <w:style w:type="paragraph" w:customStyle="1" w:styleId="108">
    <w:name w:val="三级无标题条"/>
    <w:basedOn w:val="1"/>
    <w:qFormat/>
    <w:uiPriority w:val="0"/>
    <w:pPr>
      <w:numPr>
        <w:ilvl w:val="4"/>
        <w:numId w:val="2"/>
      </w:numPr>
    </w:pPr>
  </w:style>
  <w:style w:type="paragraph" w:customStyle="1" w:styleId="109">
    <w:name w:val="数字编号列项（二级）"/>
    <w:qFormat/>
    <w:uiPriority w:val="0"/>
    <w:pPr>
      <w:ind w:left="1260" w:leftChars="400" w:hanging="420" w:hangingChars="200"/>
      <w:jc w:val="both"/>
    </w:pPr>
    <w:rPr>
      <w:rFonts w:ascii="宋体" w:hAnsi="Times New Roman" w:eastAsia="宋体" w:cs="Times New Roman"/>
      <w:sz w:val="21"/>
      <w:lang w:val="en-US" w:eastAsia="zh-CN" w:bidi="ar-SA"/>
    </w:rPr>
  </w:style>
  <w:style w:type="paragraph" w:customStyle="1" w:styleId="110">
    <w:name w:val="四级条标题"/>
    <w:basedOn w:val="81"/>
    <w:next w:val="60"/>
    <w:qFormat/>
    <w:uiPriority w:val="0"/>
    <w:pPr>
      <w:numPr>
        <w:ilvl w:val="5"/>
      </w:numPr>
      <w:outlineLvl w:val="5"/>
    </w:pPr>
  </w:style>
  <w:style w:type="paragraph" w:customStyle="1" w:styleId="111">
    <w:name w:val="四级无标题条"/>
    <w:basedOn w:val="1"/>
    <w:qFormat/>
    <w:uiPriority w:val="0"/>
    <w:pPr>
      <w:numPr>
        <w:ilvl w:val="5"/>
        <w:numId w:val="2"/>
      </w:numPr>
    </w:pPr>
  </w:style>
  <w:style w:type="paragraph" w:customStyle="1" w:styleId="112">
    <w:name w:val="条文脚注"/>
    <w:basedOn w:val="31"/>
    <w:qFormat/>
    <w:uiPriority w:val="0"/>
    <w:pPr>
      <w:ind w:left="780" w:leftChars="200" w:hanging="360" w:hangingChars="200"/>
      <w:jc w:val="both"/>
    </w:pPr>
    <w:rPr>
      <w:rFonts w:ascii="宋体"/>
    </w:rPr>
  </w:style>
  <w:style w:type="paragraph" w:customStyle="1" w:styleId="113">
    <w:name w:val="图表脚注"/>
    <w:next w:val="60"/>
    <w:qFormat/>
    <w:uiPriority w:val="0"/>
    <w:pPr>
      <w:ind w:left="300" w:leftChars="200" w:hanging="100" w:hangingChars="100"/>
      <w:jc w:val="both"/>
    </w:pPr>
    <w:rPr>
      <w:rFonts w:ascii="宋体" w:hAnsi="Times New Roman" w:eastAsia="宋体" w:cs="Times New Roman"/>
      <w:sz w:val="18"/>
      <w:lang w:val="en-US" w:eastAsia="zh-CN" w:bidi="ar-SA"/>
    </w:rPr>
  </w:style>
  <w:style w:type="paragraph" w:customStyle="1" w:styleId="114">
    <w:name w:val="文献分类号"/>
    <w:qFormat/>
    <w:uiPriority w:val="0"/>
    <w:pPr>
      <w:widowControl w:val="0"/>
      <w:textAlignment w:val="center"/>
    </w:pPr>
    <w:rPr>
      <w:rFonts w:ascii="Times New Roman" w:hAnsi="Times New Roman" w:eastAsia="黑体" w:cs="Times New Roman"/>
      <w:sz w:val="21"/>
      <w:lang w:val="en-US" w:eastAsia="zh-CN" w:bidi="ar-SA"/>
    </w:rPr>
  </w:style>
  <w:style w:type="paragraph" w:customStyle="1" w:styleId="115">
    <w:name w:val="无标题条"/>
    <w:next w:val="60"/>
    <w:qFormat/>
    <w:uiPriority w:val="0"/>
    <w:pPr>
      <w:jc w:val="both"/>
    </w:pPr>
    <w:rPr>
      <w:rFonts w:ascii="Times New Roman" w:hAnsi="Times New Roman" w:eastAsia="宋体" w:cs="Times New Roman"/>
      <w:sz w:val="21"/>
      <w:lang w:val="en-US" w:eastAsia="zh-CN" w:bidi="ar-SA"/>
    </w:rPr>
  </w:style>
  <w:style w:type="paragraph" w:customStyle="1" w:styleId="116">
    <w:name w:val="五级条标题"/>
    <w:basedOn w:val="110"/>
    <w:next w:val="60"/>
    <w:uiPriority w:val="0"/>
    <w:pPr>
      <w:numPr>
        <w:ilvl w:val="6"/>
      </w:numPr>
      <w:outlineLvl w:val="6"/>
    </w:pPr>
  </w:style>
  <w:style w:type="paragraph" w:customStyle="1" w:styleId="117">
    <w:name w:val="五级无标题条"/>
    <w:basedOn w:val="1"/>
    <w:qFormat/>
    <w:uiPriority w:val="0"/>
    <w:pPr>
      <w:numPr>
        <w:ilvl w:val="6"/>
        <w:numId w:val="2"/>
      </w:numPr>
    </w:pPr>
  </w:style>
  <w:style w:type="paragraph" w:customStyle="1" w:styleId="118">
    <w:name w:val="一级无标题条"/>
    <w:basedOn w:val="1"/>
    <w:qFormat/>
    <w:uiPriority w:val="0"/>
  </w:style>
  <w:style w:type="paragraph" w:customStyle="1" w:styleId="119">
    <w:name w:val="正文表标题"/>
    <w:next w:val="60"/>
    <w:qFormat/>
    <w:uiPriority w:val="0"/>
    <w:pPr>
      <w:numPr>
        <w:ilvl w:val="0"/>
        <w:numId w:val="7"/>
      </w:numPr>
      <w:jc w:val="center"/>
    </w:pPr>
    <w:rPr>
      <w:rFonts w:ascii="黑体" w:hAnsi="Times New Roman" w:eastAsia="黑体" w:cs="Times New Roman"/>
      <w:sz w:val="21"/>
      <w:lang w:val="en-US" w:eastAsia="zh-CN" w:bidi="ar-SA"/>
    </w:rPr>
  </w:style>
  <w:style w:type="paragraph" w:customStyle="1" w:styleId="120">
    <w:name w:val="正文图标题"/>
    <w:next w:val="60"/>
    <w:qFormat/>
    <w:uiPriority w:val="0"/>
    <w:pPr>
      <w:numPr>
        <w:ilvl w:val="0"/>
        <w:numId w:val="8"/>
      </w:numPr>
      <w:jc w:val="center"/>
    </w:pPr>
    <w:rPr>
      <w:rFonts w:ascii="黑体" w:hAnsi="Times New Roman" w:eastAsia="黑体" w:cs="Times New Roman"/>
      <w:sz w:val="21"/>
      <w:lang w:val="en-US" w:eastAsia="zh-CN" w:bidi="ar-SA"/>
    </w:rPr>
  </w:style>
  <w:style w:type="paragraph" w:customStyle="1" w:styleId="121">
    <w:name w:val="注："/>
    <w:next w:val="60"/>
    <w:uiPriority w:val="0"/>
    <w:pPr>
      <w:widowControl w:val="0"/>
      <w:numPr>
        <w:ilvl w:val="0"/>
        <w:numId w:val="9"/>
      </w:numPr>
      <w:tabs>
        <w:tab w:val="clear" w:pos="1140"/>
      </w:tabs>
      <w:autoSpaceDE w:val="0"/>
      <w:autoSpaceDN w:val="0"/>
      <w:jc w:val="both"/>
    </w:pPr>
    <w:rPr>
      <w:rFonts w:ascii="宋体" w:hAnsi="Times New Roman" w:eastAsia="宋体" w:cs="Times New Roman"/>
      <w:sz w:val="18"/>
      <w:lang w:val="en-US" w:eastAsia="zh-CN" w:bidi="ar-SA"/>
    </w:rPr>
  </w:style>
  <w:style w:type="paragraph" w:customStyle="1" w:styleId="122">
    <w:name w:val="注×："/>
    <w:qFormat/>
    <w:uiPriority w:val="0"/>
    <w:pPr>
      <w:widowControl w:val="0"/>
      <w:numPr>
        <w:ilvl w:val="0"/>
        <w:numId w:val="10"/>
      </w:numPr>
      <w:tabs>
        <w:tab w:val="left" w:pos="630"/>
        <w:tab w:val="clear" w:pos="900"/>
      </w:tabs>
      <w:autoSpaceDE w:val="0"/>
      <w:autoSpaceDN w:val="0"/>
      <w:jc w:val="both"/>
    </w:pPr>
    <w:rPr>
      <w:rFonts w:ascii="宋体" w:hAnsi="Times New Roman" w:eastAsia="宋体" w:cs="Times New Roman"/>
      <w:sz w:val="18"/>
      <w:lang w:val="en-US" w:eastAsia="zh-CN" w:bidi="ar-SA"/>
    </w:rPr>
  </w:style>
  <w:style w:type="paragraph" w:customStyle="1" w:styleId="123">
    <w:name w:val="字母编号列项（一级）"/>
    <w:qFormat/>
    <w:uiPriority w:val="0"/>
    <w:pPr>
      <w:ind w:left="840" w:leftChars="200" w:hanging="420" w:hangingChars="200"/>
      <w:jc w:val="both"/>
    </w:pPr>
    <w:rPr>
      <w:rFonts w:ascii="宋体" w:hAnsi="Times New Roman" w:eastAsia="宋体" w:cs="Times New Roman"/>
      <w:sz w:val="21"/>
      <w:lang w:val="en-US" w:eastAsia="zh-CN" w:bidi="ar-SA"/>
    </w:rPr>
  </w:style>
  <w:style w:type="paragraph" w:customStyle="1" w:styleId="124">
    <w:name w:val="Char Char Char Char Char Char1"/>
    <w:basedOn w:val="1"/>
    <w:qFormat/>
    <w:uiPriority w:val="0"/>
    <w:pPr>
      <w:widowControl/>
      <w:spacing w:after="160" w:line="240" w:lineRule="exact"/>
      <w:jc w:val="left"/>
    </w:pPr>
    <w:rPr>
      <w:rFonts w:ascii="Verdana" w:hAnsi="Verdana" w:eastAsia="仿宋_GB2312"/>
      <w:kern w:val="0"/>
      <w:sz w:val="24"/>
      <w:lang w:eastAsia="en-US"/>
    </w:rPr>
  </w:style>
  <w:style w:type="paragraph" w:customStyle="1" w:styleId="125">
    <w:name w:val="Char"/>
    <w:basedOn w:val="1"/>
    <w:qFormat/>
    <w:uiPriority w:val="0"/>
    <w:pPr>
      <w:widowControl/>
      <w:spacing w:after="160" w:line="240" w:lineRule="exact"/>
      <w:jc w:val="left"/>
    </w:pPr>
    <w:rPr>
      <w:rFonts w:ascii="Verdana" w:hAnsi="Verdana" w:eastAsia="仿宋_GB2312"/>
      <w:kern w:val="0"/>
      <w:sz w:val="24"/>
      <w:lang w:eastAsia="en-US"/>
    </w:rPr>
  </w:style>
  <w:style w:type="paragraph" w:customStyle="1" w:styleId="126">
    <w:name w:val="_Style 123"/>
    <w:next w:val="1"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paragraph" w:customStyle="1" w:styleId="127">
    <w:name w:val="修订1"/>
    <w:hidden/>
    <w:semiHidden/>
    <w:uiPriority w:val="99"/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paragraph" w:customStyle="1" w:styleId="128">
    <w:name w:val="列出段落1"/>
    <w:basedOn w:val="1"/>
    <w:qFormat/>
    <w:uiPriority w:val="0"/>
    <w:pPr>
      <w:ind w:firstLine="420" w:firstLineChars="200"/>
    </w:pPr>
    <w:rPr>
      <w:rFonts w:ascii="Calibri" w:hAnsi="Calibri"/>
      <w:szCs w:val="22"/>
    </w:rPr>
  </w:style>
  <w:style w:type="character" w:customStyle="1" w:styleId="129">
    <w:name w:val="批注文字 Char"/>
    <w:basedOn w:val="40"/>
    <w:link w:val="21"/>
    <w:semiHidden/>
    <w:qFormat/>
    <w:uiPriority w:val="0"/>
    <w:rPr>
      <w:kern w:val="2"/>
      <w:sz w:val="21"/>
    </w:rPr>
  </w:style>
  <w:style w:type="paragraph" w:customStyle="1" w:styleId="130">
    <w:name w:val="列出段落2"/>
    <w:basedOn w:val="1"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oter" Target="footer2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中国标准研究中心</Company>
  <Pages>7</Pages>
  <Words>3897</Words>
  <Characters>4262</Characters>
  <Lines>6</Lines>
  <Paragraphs>1</Paragraphs>
  <TotalTime>16</TotalTime>
  <ScaleCrop>false</ScaleCrop>
  <LinksUpToDate>false</LinksUpToDate>
  <CharactersWithSpaces>4386</CharactersWithSpaces>
  <Application>WPS Office_12.1.0.20305_F1E327BC-269C-435d-A152-05C5408002CA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2018-06-07T08:29:00Z</dcterms:created>
  <dc:creator>USER</dc:creator>
  <cp:lastModifiedBy>牙牙</cp:lastModifiedBy>
  <cp:lastPrinted>2015-09-09T05:55:00Z</cp:lastPrinted>
  <dcterms:modified xsi:type="dcterms:W3CDTF">2025-03-07T05:24:30Z</dcterms:modified>
  <dc:title>小蔗螟检疫鉴定方法</dc:title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2052-12.1.0.20305</vt:lpwstr>
  </property>
  <property fmtid="{D5CDD505-2E9C-101B-9397-08002B2CF9AE}" pid="3" name="ICV">
    <vt:lpwstr>01F2FF4C048F4ECCA89FFAC8BB4D00FC_13</vt:lpwstr>
  </property>
  <property fmtid="{D5CDD505-2E9C-101B-9397-08002B2CF9AE}" pid="4" name="KSOTemplateDocerSaveRecord">
    <vt:lpwstr>eyJoZGlkIjoiNjU1ZTE0ZGZmMmQ4Y2IwNzZjNWQ1MjcxM2RlMDRiMjgiLCJ1c2VySWQiOiIzOTA2ODgyNjYifQ==</vt:lpwstr>
  </property>
</Properties>
</file>