
<file path=[Content_Types].xml><?xml version="1.0" encoding="utf-8"?>
<Types xmlns="http://schemas.openxmlformats.org/package/2006/content-types">
  <Default Extension="xml" ContentType="application/xml"/>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__1.vsdx" ContentType="application/vnd.ms-visio.drawing"/>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044CB923">
        <w:tc>
          <w:tcPr>
            <w:tcW w:w="509" w:type="dxa"/>
          </w:tcPr>
          <w:p w14:paraId="33A20FEC">
            <w:pPr>
              <w:pStyle w:val="3"/>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6B49ABB2">
            <w:pPr>
              <w:pStyle w:val="3"/>
              <w:framePr w:wrap="notBeside" w:vAnchor="page" w:hAnchor="page" w:x="1372" w:y="568"/>
              <w:tabs>
                <w:tab w:val="clear" w:pos="4153"/>
                <w:tab w:val="clear" w:pos="8306"/>
              </w:tabs>
              <w:spacing w:line="240" w:lineRule="auto"/>
              <w:ind w:left="3"/>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点击此处添加ICS号</w:t>
            </w:r>
            <w:r>
              <w:rPr>
                <w:rFonts w:ascii="黑体" w:hAnsi="黑体" w:eastAsia="黑体"/>
                <w:sz w:val="21"/>
                <w:szCs w:val="21"/>
              </w:rPr>
              <w:fldChar w:fldCharType="end"/>
            </w:r>
            <w:bookmarkEnd w:id="0"/>
          </w:p>
        </w:tc>
      </w:tr>
      <w:tr w14:paraId="10ACBE23">
        <w:tc>
          <w:tcPr>
            <w:tcW w:w="509" w:type="dxa"/>
          </w:tcPr>
          <w:p w14:paraId="0E6735BB">
            <w:pPr>
              <w:pStyle w:val="3"/>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14:paraId="2884FB63">
            <w:pPr>
              <w:pStyle w:val="3"/>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tbl>
      <w:tblPr>
        <w:tblStyle w:val="6"/>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14:paraId="7FD33A49">
        <w:trPr>
          <w:trHeight w:val="1128" w:hRule="atLeast"/>
        </w:trPr>
        <w:tc>
          <w:tcPr>
            <w:tcW w:w="4990" w:type="dxa"/>
          </w:tcPr>
          <w:p w14:paraId="4E070EE5">
            <w:pPr>
              <w:pStyle w:val="10"/>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rPr>
                <w:rFonts w:hint="eastAsia"/>
              </w:rPr>
              <w:t>RB</w:t>
            </w:r>
            <w:r>
              <w:fldChar w:fldCharType="end"/>
            </w:r>
            <w:bookmarkEnd w:id="3"/>
          </w:p>
        </w:tc>
      </w:tr>
    </w:tbl>
    <w:p w14:paraId="656FED37">
      <w:pPr>
        <w:pStyle w:val="11"/>
        <w:framePr w:w="9639" w:h="624" w:hRule="exact" w:hSpace="181" w:vSpace="181" w:wrap="around"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认证认可</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14:paraId="11EC4A00">
      <w:pPr>
        <w:pStyle w:val="12"/>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rPr>
        <w:t>RB</w:t>
      </w:r>
      <w:r>
        <w:rPr>
          <w:lang w:val="fr-FR"/>
        </w:rPr>
        <w:t>/T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14:paraId="30DF8E82">
      <w:pPr>
        <w:pStyle w:val="14"/>
        <w:rPr>
          <w:rFonts w:hAnsi="黑体"/>
          <w:lang w:val="fr-FR"/>
        </w:rPr>
      </w:pPr>
      <w:r>
        <w:rPr>
          <w:rFonts w:hAnsi="黑体"/>
        </w:rPr>
        <w:fldChar w:fldCharType="begin">
          <w:ffData>
            <w:name w:val="OSTD_CODE"/>
            <w:enabled/>
            <w:calcOnExit w:val="0"/>
            <w:textInput/>
          </w:ffData>
        </w:fldChar>
      </w:r>
      <w:bookmarkStart w:id="8" w:name="OSTD_CODE"/>
      <w:r>
        <w:rPr>
          <w:rFonts w:hAnsi="黑体"/>
          <w:lang w:val="fr-FR"/>
        </w:rPr>
        <w:instrText xml:space="preserve"> FORMTEXT </w:instrText>
      </w:r>
      <w:r>
        <w:rPr>
          <w:rFonts w:hAnsi="黑体"/>
        </w:rPr>
        <w:fldChar w:fldCharType="separate"/>
      </w:r>
      <w:r>
        <w:rPr>
          <w:rFonts w:hAnsi="黑体"/>
        </w:rPr>
        <w:t>     </w:t>
      </w:r>
      <w:r>
        <w:rPr>
          <w:rFonts w:hAnsi="黑体"/>
        </w:rPr>
        <w:fldChar w:fldCharType="end"/>
      </w:r>
      <w:bookmarkEnd w:id="8"/>
    </w:p>
    <w:p w14:paraId="0B6AE706">
      <w:pPr>
        <w:spacing w:line="240" w:lineRule="auto"/>
        <w:rPr>
          <w:rFonts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6350" r="0" b="635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1F2D83D5">
      <w:pPr>
        <w:pStyle w:val="11"/>
        <w:framePr w:w="9639" w:h="6976" w:hRule="exact" w:hSpace="0" w:vSpace="0" w:wrap="around" w:hAnchor="page" w:y="6408"/>
        <w:jc w:val="center"/>
        <w:rPr>
          <w:rFonts w:ascii="黑体" w:hAnsi="黑体" w:eastAsia="黑体"/>
          <w:b w:val="0"/>
          <w:bCs w:val="0"/>
          <w:w w:val="100"/>
          <w:lang w:val="fr-FR"/>
        </w:rPr>
      </w:pPr>
    </w:p>
    <w:p w14:paraId="30275421">
      <w:pPr>
        <w:pStyle w:val="15"/>
        <w:framePr w:h="6974" w:hRule="exact" w:wrap="around" w:x="1419" w:anchorLock="1"/>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t>检验检测机构数据分析应用规范</w:t>
      </w:r>
      <w:r>
        <w:fldChar w:fldCharType="end"/>
      </w:r>
      <w:bookmarkEnd w:id="9"/>
    </w:p>
    <w:p w14:paraId="6FD32FFB">
      <w:pPr>
        <w:framePr w:w="9639" w:h="6974" w:hRule="exact" w:wrap="around" w:vAnchor="page" w:hAnchor="page" w:x="1419" w:y="6408" w:anchorLock="1"/>
        <w:ind w:left="-1418"/>
      </w:pPr>
    </w:p>
    <w:p w14:paraId="13E4A0A7">
      <w:pPr>
        <w:pStyle w:val="16"/>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Specification for analysis and application of inspection and testing institutions data"/>
            </w:textInput>
          </w:ffData>
        </w:fldChar>
      </w:r>
      <w:bookmarkStart w:id="10" w:name="ESTD_NAME"/>
      <w:r>
        <w:rPr>
          <w:rFonts w:eastAsia="黑体"/>
          <w:szCs w:val="28"/>
        </w:rPr>
        <w:instrText xml:space="preserve"> FORMTEXT </w:instrText>
      </w:r>
      <w:r>
        <w:rPr>
          <w:rFonts w:eastAsia="黑体"/>
          <w:szCs w:val="28"/>
        </w:rPr>
        <w:fldChar w:fldCharType="separate"/>
      </w:r>
      <w:r>
        <w:rPr>
          <w:rFonts w:eastAsia="黑体"/>
          <w:szCs w:val="28"/>
        </w:rPr>
        <w:t>Specification for analysis and application of inspection and testing institutions data</w:t>
      </w:r>
      <w:r>
        <w:rPr>
          <w:rFonts w:eastAsia="黑体"/>
          <w:szCs w:val="28"/>
        </w:rPr>
        <w:fldChar w:fldCharType="end"/>
      </w:r>
      <w:bookmarkEnd w:id="10"/>
    </w:p>
    <w:p w14:paraId="44F3F2DF">
      <w:pPr>
        <w:framePr w:w="9639" w:h="6974" w:hRule="exact" w:wrap="around" w:vAnchor="page" w:hAnchor="page" w:x="1419" w:y="6408" w:anchorLock="1"/>
        <w:spacing w:line="760" w:lineRule="exact"/>
        <w:ind w:left="-1418"/>
      </w:pPr>
    </w:p>
    <w:p w14:paraId="5DB9246F">
      <w:pPr>
        <w:pStyle w:val="16"/>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1" w:name="IN_STD_CODE"/>
      <w:r>
        <w:rPr>
          <w:rFonts w:eastAsia="黑体"/>
          <w:szCs w:val="28"/>
        </w:rPr>
        <w:instrText xml:space="preserve"> FORMTEXT </w:instrText>
      </w:r>
      <w:r>
        <w:rPr>
          <w:rFonts w:eastAsia="黑体"/>
          <w:szCs w:val="28"/>
        </w:rPr>
        <w:fldChar w:fldCharType="separate"/>
      </w:r>
      <w:r>
        <w:rPr>
          <w:rFonts w:hint="eastAsia" w:eastAsia="黑体"/>
          <w:szCs w:val="28"/>
        </w:rPr>
        <w:t>(点击此处添加与国际标准一致性程度的标识)</w:t>
      </w:r>
      <w:r>
        <w:rPr>
          <w:rFonts w:eastAsia="黑体"/>
          <w:szCs w:val="28"/>
        </w:rPr>
        <w:fldChar w:fldCharType="end"/>
      </w:r>
      <w:bookmarkEnd w:id="11"/>
    </w:p>
    <w:p w14:paraId="22B7A4D8">
      <w:pPr>
        <w:pStyle w:val="16"/>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listEntry w:val=" "/>
              <w:listEntry w:val="草案版次选择"/>
              <w:listEntry w:val="（工作组讨论稿）"/>
              <w:listEntry w:val="（征求意见稿）"/>
              <w:listEntry w:val="（送审讨论稿）"/>
              <w:listEntry w:val="（送审稿）"/>
              <w:listEntry w:val="（报批稿）"/>
            </w:ddList>
          </w:ffData>
        </w:fldChar>
      </w:r>
      <w:bookmarkStart w:id="12" w:name="下拉1"/>
      <w:r>
        <w:rPr>
          <w:sz w:val="24"/>
          <w:szCs w:val="28"/>
        </w:rPr>
        <w:instrText xml:space="preserve"> FORMDROPDOWN </w:instrText>
      </w:r>
      <w:r>
        <w:rPr>
          <w:sz w:val="24"/>
          <w:szCs w:val="28"/>
        </w:rPr>
        <w:fldChar w:fldCharType="separate"/>
      </w:r>
      <w:r>
        <w:rPr>
          <w:sz w:val="24"/>
          <w:szCs w:val="28"/>
        </w:rPr>
        <w:fldChar w:fldCharType="end"/>
      </w:r>
      <w:bookmarkEnd w:id="12"/>
      <w:r>
        <w:rPr>
          <w:rFonts w:hint="eastAsia"/>
          <w:sz w:val="24"/>
          <w:szCs w:val="28"/>
        </w:rPr>
        <w:t>（征求意见稿）</w:t>
      </w:r>
    </w:p>
    <w:p w14:paraId="7A3BC93C">
      <w:pPr>
        <w:pStyle w:val="16"/>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3"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3"/>
    </w:p>
    <w:p w14:paraId="62A3E9AC">
      <w:pPr>
        <w:pStyle w:val="16"/>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4" w:name="下拉2"/>
      <w:r>
        <w:rPr>
          <w:b/>
          <w:sz w:val="21"/>
          <w:szCs w:val="28"/>
        </w:rPr>
        <w:instrText xml:space="preserve"> FORMDROPDOWN </w:instrText>
      </w:r>
      <w:r>
        <w:rPr>
          <w:b/>
          <w:sz w:val="21"/>
          <w:szCs w:val="28"/>
        </w:rPr>
        <w:fldChar w:fldCharType="separate"/>
      </w:r>
      <w:r>
        <w:rPr>
          <w:b/>
          <w:sz w:val="21"/>
          <w:szCs w:val="28"/>
        </w:rPr>
        <w:fldChar w:fldCharType="end"/>
      </w:r>
      <w:bookmarkEnd w:id="14"/>
    </w:p>
    <w:p w14:paraId="45485475">
      <w:pPr>
        <w:pStyle w:val="17"/>
        <w:framePr w:wrap="around" w:y="14176"/>
      </w:pPr>
      <w:r>
        <w:rPr>
          <w:rFonts w:ascii="黑体"/>
        </w:rPr>
        <w:fldChar w:fldCharType="begin">
          <w:ffData>
            <w:name w:val="PLSH_DATE_Y"/>
            <w:enabled/>
            <w:calcOnExit w:val="0"/>
            <w:textInput>
              <w:default w:val="XXXX"/>
              <w:maxLength w:val="4"/>
            </w:textInput>
          </w:ffData>
        </w:fldChar>
      </w:r>
      <w:bookmarkStart w:id="15"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5"/>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6"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7"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7"/>
      <w:r>
        <w:rPr>
          <w:rFonts w:hint="eastAsia"/>
        </w:rPr>
        <w:t>发布</w:t>
      </w:r>
    </w:p>
    <w:p w14:paraId="02DCF8B4">
      <w:pPr>
        <w:pStyle w:val="19"/>
        <w:framePr w:wrap="around" w:y="14176"/>
      </w:pPr>
      <w:r>
        <w:rPr>
          <w:rFonts w:ascii="黑体"/>
        </w:rPr>
        <w:fldChar w:fldCharType="begin">
          <w:ffData>
            <w:name w:val="CROT_DATE_Y"/>
            <w:enabled/>
            <w:calcOnExit w:val="0"/>
            <w:textInput>
              <w:default w:val="XXXX"/>
              <w:maxLength w:val="4"/>
            </w:textInput>
          </w:ffData>
        </w:fldChar>
      </w:r>
      <w:bookmarkStart w:id="18"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8"/>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9"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20"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20"/>
      <w:r>
        <w:rPr>
          <w:rFonts w:hint="eastAsia"/>
        </w:rPr>
        <w:t>实施</w:t>
      </w:r>
    </w:p>
    <w:p w14:paraId="723DCFF4">
      <w:pPr>
        <w:pStyle w:val="21"/>
        <w:framePr w:h="584" w:hRule="exact" w:hSpace="181" w:vSpace="181" w:wrap="around" w:y="14800"/>
        <w:rPr>
          <w:rFonts w:hAnsi="黑体"/>
        </w:rPr>
      </w:pPr>
      <w:r>
        <w:rPr>
          <w:rFonts w:hAnsi="黑体"/>
          <w:w w:val="100"/>
          <w:sz w:val="28"/>
        </w:rPr>
        <w:fldChar w:fldCharType="begin">
          <w:ffData>
            <w:name w:val="fm"/>
            <w:enabled/>
            <w:calcOnExit w:val="0"/>
            <w:textInput/>
          </w:ffData>
        </w:fldChar>
      </w:r>
      <w:bookmarkStart w:id="21" w:name="fm"/>
      <w:r>
        <w:rPr>
          <w:rFonts w:hAnsi="黑体"/>
          <w:w w:val="100"/>
          <w:sz w:val="28"/>
        </w:rPr>
        <w:instrText xml:space="preserve"> FORMTEXT </w:instrText>
      </w:r>
      <w:r>
        <w:rPr>
          <w:rFonts w:hAnsi="黑体"/>
          <w:w w:val="100"/>
          <w:sz w:val="28"/>
        </w:rPr>
        <w:fldChar w:fldCharType="separate"/>
      </w:r>
      <w:r>
        <w:rPr>
          <w:rFonts w:hint="eastAsia" w:hAnsi="黑体"/>
          <w:w w:val="100"/>
          <w:sz w:val="28"/>
        </w:rPr>
        <w:t>中国国家认证认可监督管理委员会</w:t>
      </w:r>
      <w:r>
        <w:rPr>
          <w:rFonts w:hAnsi="黑体"/>
          <w:w w:val="100"/>
          <w:sz w:val="28"/>
        </w:rPr>
        <w:fldChar w:fldCharType="end"/>
      </w:r>
      <w:bookmarkEnd w:id="21"/>
      <w:r>
        <w:rPr>
          <w:rFonts w:ascii="Times New Roman"/>
          <w:w w:val="100"/>
          <w:sz w:val="28"/>
          <w:szCs w:val="28"/>
        </w:rPr>
        <w:t>  </w:t>
      </w:r>
      <w:r>
        <w:rPr>
          <w:rStyle w:val="23"/>
          <w:rFonts w:hint="eastAsia" w:hAnsi="黑体"/>
          <w:position w:val="0"/>
        </w:rPr>
        <w:t>发</w:t>
      </w:r>
      <w:r>
        <w:rPr>
          <w:rStyle w:val="23"/>
          <w:rFonts w:hint="eastAsia" w:hAnsi="黑体"/>
          <w:spacing w:val="0"/>
          <w:position w:val="0"/>
        </w:rPr>
        <w:t>布</w:t>
      </w:r>
    </w:p>
    <w:p w14:paraId="485FB72F">
      <w:pPr>
        <w:rPr>
          <w:rFonts w:ascii="宋体" w:hAnsi="宋体"/>
          <w:sz w:val="28"/>
          <w:szCs w:val="28"/>
        </w:rPr>
        <w:sectPr>
          <w:headerReference r:id="rId6" w:type="first"/>
          <w:footerReference r:id="rId8" w:type="first"/>
          <w:headerReference r:id="rId5" w:type="default"/>
          <w:footerReference r:id="rId7" w:type="even"/>
          <w:pgSz w:w="11906" w:h="16838"/>
          <w:pgMar w:top="567" w:right="1134" w:bottom="1021" w:left="1134" w:header="1418" w:footer="1134" w:gutter="284"/>
          <w:cols w:space="425" w:num="1"/>
          <w:titlePg/>
          <w:docGrid w:linePitch="312" w:charSpace="0"/>
        </w:sectPr>
      </w:pPr>
      <w:bookmarkStart w:id="261" w:name="_GoBack"/>
      <w:bookmarkEnd w:id="261"/>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6350" r="0" b="635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2FE6D7EF">
      <w:pPr>
        <w:pStyle w:val="24"/>
        <w:spacing w:after="360"/>
        <w:rPr>
          <w:rFonts w:hint="eastAsia"/>
        </w:rPr>
      </w:pPr>
      <w:bookmarkStart w:id="22" w:name="BookMark1"/>
      <w:bookmarkStart w:id="23" w:name="_Toc224565837"/>
      <w:bookmarkStart w:id="24" w:name="_Toc223012876"/>
      <w:bookmarkStart w:id="25" w:name="_Toc221974269"/>
      <w:bookmarkStart w:id="26" w:name="_Toc220779215"/>
      <w:bookmarkStart w:id="27" w:name="_Toc223727445"/>
      <w:bookmarkStart w:id="28" w:name="_Toc223642414"/>
      <w:bookmarkStart w:id="29" w:name="_Toc224229510"/>
      <w:bookmarkStart w:id="30" w:name="_Toc220949377"/>
      <w:bookmarkStart w:id="31" w:name="_Toc243324549"/>
      <w:bookmarkStart w:id="32" w:name="_Toc243324904"/>
      <w:bookmarkStart w:id="33" w:name="_Toc221971679"/>
      <w:bookmarkStart w:id="34" w:name="_Toc221975171"/>
      <w:r>
        <w:rPr>
          <w:rFonts w:hint="eastAsia"/>
          <w:spacing w:val="320"/>
        </w:rPr>
        <w:t>目</w:t>
      </w:r>
      <w:r>
        <w:rPr>
          <w:rFonts w:hint="eastAsia"/>
        </w:rPr>
        <w:t>次</w:t>
      </w:r>
    </w:p>
    <w:p w14:paraId="1CC33169">
      <w:pPr>
        <w:pStyle w:val="4"/>
        <w:tabs>
          <w:tab w:val="right" w:leader="dot" w:pos="9344"/>
        </w:tabs>
        <w:rPr>
          <w:rFonts w:asciiTheme="minorHAnsi" w:hAnsiTheme="minorHAnsi" w:eastAsiaTheme="minorEastAsia" w:cstheme="minorBidi"/>
          <w:szCs w:val="22"/>
        </w:rPr>
      </w:pPr>
      <w:r>
        <w:fldChar w:fldCharType="begin"/>
      </w:r>
      <w:r>
        <w:instrText xml:space="preserve"> TOC \o "1-1" \h \t "标准文件_一级条标题,2,标准文件_二级条标题,3,标准文件_三级条标题,4,标准文件_附录一级条标题,2,标准文件_附录二级条标题,3,标准文件_附录三级条标题,4," </w:instrText>
      </w:r>
      <w:r>
        <w:fldChar w:fldCharType="separate"/>
      </w:r>
      <w:r>
        <w:fldChar w:fldCharType="begin"/>
      </w:r>
      <w:r>
        <w:instrText xml:space="preserve"> HYPERLINK \l "_Toc243324919" </w:instrText>
      </w:r>
      <w:r>
        <w:fldChar w:fldCharType="separate"/>
      </w:r>
      <w:r>
        <w:rPr>
          <w:rStyle w:val="9"/>
          <w:rFonts w:hint="eastAsia"/>
        </w:rPr>
        <w:t>前言</w:t>
      </w:r>
      <w:r>
        <w:tab/>
      </w:r>
      <w:r>
        <w:fldChar w:fldCharType="begin"/>
      </w:r>
      <w:r>
        <w:instrText xml:space="preserve"> PAGEREF _Toc243324919 \h </w:instrText>
      </w:r>
      <w:r>
        <w:fldChar w:fldCharType="separate"/>
      </w:r>
      <w:r>
        <w:t>II</w:t>
      </w:r>
      <w:r>
        <w:fldChar w:fldCharType="end"/>
      </w:r>
      <w:r>
        <w:fldChar w:fldCharType="end"/>
      </w:r>
    </w:p>
    <w:p w14:paraId="074B3C40">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"_Toc243324920" </w:instrText>
      </w:r>
      <w:r>
        <w:fldChar w:fldCharType="separate"/>
      </w:r>
      <w:r>
        <w:rPr>
          <w:rStyle w:val="9"/>
        </w:rPr>
        <w:t xml:space="preserve">1 </w:t>
      </w:r>
      <w:r>
        <w:rPr>
          <w:rStyle w:val="9"/>
          <w:rFonts w:hint="eastAsia"/>
        </w:rPr>
        <w:t xml:space="preserve"> 范围</w:t>
      </w:r>
      <w:r>
        <w:tab/>
      </w:r>
      <w:r>
        <w:fldChar w:fldCharType="begin"/>
      </w:r>
      <w:r>
        <w:instrText xml:space="preserve"> PAGEREF _Toc243324920 \h </w:instrText>
      </w:r>
      <w:r>
        <w:fldChar w:fldCharType="separate"/>
      </w:r>
      <w:r>
        <w:t>3</w:t>
      </w:r>
      <w:r>
        <w:fldChar w:fldCharType="end"/>
      </w:r>
      <w:r>
        <w:fldChar w:fldCharType="end"/>
      </w:r>
    </w:p>
    <w:p w14:paraId="6C531214">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"_Toc243324921" </w:instrText>
      </w:r>
      <w:r>
        <w:fldChar w:fldCharType="separate"/>
      </w:r>
      <w:r>
        <w:rPr>
          <w:rStyle w:val="9"/>
        </w:rPr>
        <w:t xml:space="preserve">2 </w:t>
      </w:r>
      <w:r>
        <w:rPr>
          <w:rStyle w:val="9"/>
          <w:rFonts w:hint="eastAsia"/>
        </w:rPr>
        <w:t xml:space="preserve"> 规范性引用文件</w:t>
      </w:r>
      <w:r>
        <w:tab/>
      </w:r>
      <w:r>
        <w:fldChar w:fldCharType="begin"/>
      </w:r>
      <w:r>
        <w:instrText xml:space="preserve"> PAGEREF _Toc243324921 \h </w:instrText>
      </w:r>
      <w:r>
        <w:fldChar w:fldCharType="separate"/>
      </w:r>
      <w:r>
        <w:t>3</w:t>
      </w:r>
      <w:r>
        <w:fldChar w:fldCharType="end"/>
      </w:r>
      <w:r>
        <w:fldChar w:fldCharType="end"/>
      </w:r>
    </w:p>
    <w:p w14:paraId="49E97743">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"_Toc243324922" </w:instrText>
      </w:r>
      <w:r>
        <w:fldChar w:fldCharType="separate"/>
      </w:r>
      <w:r>
        <w:rPr>
          <w:rStyle w:val="9"/>
        </w:rPr>
        <w:t xml:space="preserve">3 </w:t>
      </w:r>
      <w:r>
        <w:rPr>
          <w:rStyle w:val="9"/>
          <w:rFonts w:hint="eastAsia"/>
        </w:rPr>
        <w:t xml:space="preserve"> 术语和定义</w:t>
      </w:r>
      <w:r>
        <w:tab/>
      </w:r>
      <w:r>
        <w:fldChar w:fldCharType="begin"/>
      </w:r>
      <w:r>
        <w:instrText xml:space="preserve"> PAGEREF _Toc243324922 \h </w:instrText>
      </w:r>
      <w:r>
        <w:fldChar w:fldCharType="separate"/>
      </w:r>
      <w:r>
        <w:t>3</w:t>
      </w:r>
      <w:r>
        <w:fldChar w:fldCharType="end"/>
      </w:r>
      <w:r>
        <w:fldChar w:fldCharType="end"/>
      </w:r>
    </w:p>
    <w:p w14:paraId="1C9111B2">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"_Toc243324923" </w:instrText>
      </w:r>
      <w:r>
        <w:fldChar w:fldCharType="separate"/>
      </w:r>
      <w:r>
        <w:rPr>
          <w:rStyle w:val="9"/>
        </w:rPr>
        <w:t xml:space="preserve">4 </w:t>
      </w:r>
      <w:r>
        <w:rPr>
          <w:rStyle w:val="9"/>
          <w:rFonts w:hint="eastAsia"/>
        </w:rPr>
        <w:t xml:space="preserve"> 缩略语</w:t>
      </w:r>
      <w:r>
        <w:tab/>
      </w:r>
      <w:r>
        <w:fldChar w:fldCharType="begin"/>
      </w:r>
      <w:r>
        <w:instrText xml:space="preserve"> PAGEREF _Toc243324923 \h </w:instrText>
      </w:r>
      <w:r>
        <w:fldChar w:fldCharType="separate"/>
      </w:r>
      <w:r>
        <w:t>3</w:t>
      </w:r>
      <w:r>
        <w:fldChar w:fldCharType="end"/>
      </w:r>
      <w:r>
        <w:fldChar w:fldCharType="end"/>
      </w:r>
    </w:p>
    <w:p w14:paraId="046090AA">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"_Toc243324924" </w:instrText>
      </w:r>
      <w:r>
        <w:fldChar w:fldCharType="separate"/>
      </w:r>
      <w:r>
        <w:rPr>
          <w:rStyle w:val="9"/>
        </w:rPr>
        <w:t xml:space="preserve">5 </w:t>
      </w:r>
      <w:r>
        <w:rPr>
          <w:rStyle w:val="9"/>
          <w:rFonts w:hint="eastAsia"/>
        </w:rPr>
        <w:t xml:space="preserve"> 数据分析应用总体架构</w:t>
      </w:r>
      <w:r>
        <w:tab/>
      </w:r>
      <w:r>
        <w:fldChar w:fldCharType="begin"/>
      </w:r>
      <w:r>
        <w:instrText xml:space="preserve"> PAGEREF _Toc243324924 \h </w:instrText>
      </w:r>
      <w:r>
        <w:fldChar w:fldCharType="separate"/>
      </w:r>
      <w:r>
        <w:t>3</w:t>
      </w:r>
      <w:r>
        <w:fldChar w:fldCharType="end"/>
      </w:r>
      <w:r>
        <w:fldChar w:fldCharType="end"/>
      </w:r>
    </w:p>
    <w:p w14:paraId="079A89AD">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"_Toc243324925" </w:instrText>
      </w:r>
      <w:r>
        <w:fldChar w:fldCharType="separate"/>
      </w:r>
      <w:r>
        <w:rPr>
          <w:rStyle w:val="9"/>
        </w:rPr>
        <w:t xml:space="preserve">6 </w:t>
      </w:r>
      <w:r>
        <w:rPr>
          <w:rStyle w:val="9"/>
          <w:rFonts w:hint="eastAsia"/>
        </w:rPr>
        <w:t xml:space="preserve"> 数据收集要求</w:t>
      </w:r>
      <w:r>
        <w:tab/>
      </w:r>
      <w:r>
        <w:fldChar w:fldCharType="begin"/>
      </w:r>
      <w:r>
        <w:instrText xml:space="preserve"> PAGEREF _Toc243324925 \h </w:instrText>
      </w:r>
      <w:r>
        <w:fldChar w:fldCharType="separate"/>
      </w:r>
      <w:r>
        <w:t>5</w:t>
      </w:r>
      <w:r>
        <w:fldChar w:fldCharType="end"/>
      </w:r>
      <w:r>
        <w:fldChar w:fldCharType="end"/>
      </w:r>
    </w:p>
    <w:p w14:paraId="4EA06300">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"_Toc243324926" </w:instrText>
      </w:r>
      <w:r>
        <w:fldChar w:fldCharType="separate"/>
      </w:r>
      <w:r>
        <w:rPr>
          <w:rStyle w:val="9"/>
        </w:rPr>
        <w:t xml:space="preserve">7 </w:t>
      </w:r>
      <w:r>
        <w:rPr>
          <w:rStyle w:val="9"/>
          <w:rFonts w:hint="eastAsia"/>
        </w:rPr>
        <w:t xml:space="preserve"> 数据存储要求</w:t>
      </w:r>
      <w:r>
        <w:tab/>
      </w:r>
      <w:r>
        <w:fldChar w:fldCharType="begin"/>
      </w:r>
      <w:r>
        <w:instrText xml:space="preserve"> PAGEREF _Toc243324926 \h </w:instrText>
      </w:r>
      <w:r>
        <w:fldChar w:fldCharType="separate"/>
      </w:r>
      <w:r>
        <w:t>6</w:t>
      </w:r>
      <w:r>
        <w:fldChar w:fldCharType="end"/>
      </w:r>
      <w:r>
        <w:fldChar w:fldCharType="end"/>
      </w:r>
    </w:p>
    <w:p w14:paraId="7A02D6D4">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"_Toc243324927" </w:instrText>
      </w:r>
      <w:r>
        <w:fldChar w:fldCharType="separate"/>
      </w:r>
      <w:r>
        <w:rPr>
          <w:rStyle w:val="9"/>
        </w:rPr>
        <w:t xml:space="preserve">8 </w:t>
      </w:r>
      <w:r>
        <w:rPr>
          <w:rStyle w:val="9"/>
          <w:rFonts w:hint="eastAsia"/>
        </w:rPr>
        <w:t xml:space="preserve"> 数据处理要求</w:t>
      </w:r>
      <w:r>
        <w:tab/>
      </w:r>
      <w:r>
        <w:fldChar w:fldCharType="begin"/>
      </w:r>
      <w:r>
        <w:instrText xml:space="preserve"> PAGEREF _Toc243324927 \h </w:instrText>
      </w:r>
      <w:r>
        <w:fldChar w:fldCharType="separate"/>
      </w:r>
      <w:r>
        <w:t>6</w:t>
      </w:r>
      <w:r>
        <w:fldChar w:fldCharType="end"/>
      </w:r>
      <w:r>
        <w:fldChar w:fldCharType="end"/>
      </w:r>
    </w:p>
    <w:p w14:paraId="59F88F6E">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"_Toc243324928" </w:instrText>
      </w:r>
      <w:r>
        <w:fldChar w:fldCharType="separate"/>
      </w:r>
      <w:r>
        <w:rPr>
          <w:rStyle w:val="9"/>
        </w:rPr>
        <w:t xml:space="preserve">9 </w:t>
      </w:r>
      <w:r>
        <w:rPr>
          <w:rStyle w:val="9"/>
          <w:rFonts w:hint="eastAsia"/>
        </w:rPr>
        <w:t xml:space="preserve"> 画像数据要求</w:t>
      </w:r>
      <w:r>
        <w:tab/>
      </w:r>
      <w:r>
        <w:fldChar w:fldCharType="begin"/>
      </w:r>
      <w:r>
        <w:instrText xml:space="preserve"> PAGEREF _Toc243324928 \h </w:instrText>
      </w:r>
      <w:r>
        <w:fldChar w:fldCharType="separate"/>
      </w:r>
      <w:r>
        <w:t>6</w:t>
      </w:r>
      <w:r>
        <w:fldChar w:fldCharType="end"/>
      </w:r>
      <w:r>
        <w:fldChar w:fldCharType="end"/>
      </w:r>
    </w:p>
    <w:p w14:paraId="2FA357F0">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"_Toc243324929" </w:instrText>
      </w:r>
      <w:r>
        <w:fldChar w:fldCharType="separate"/>
      </w:r>
      <w:r>
        <w:rPr>
          <w:rStyle w:val="9"/>
        </w:rPr>
        <w:t xml:space="preserve">10 </w:t>
      </w:r>
      <w:r>
        <w:rPr>
          <w:rStyle w:val="9"/>
          <w:rFonts w:hint="eastAsia"/>
        </w:rPr>
        <w:t xml:space="preserve"> 数据分析要求</w:t>
      </w:r>
      <w:r>
        <w:tab/>
      </w:r>
      <w:r>
        <w:fldChar w:fldCharType="begin"/>
      </w:r>
      <w:r>
        <w:instrText xml:space="preserve"> PAGEREF _Toc243324929 \h </w:instrText>
      </w:r>
      <w:r>
        <w:fldChar w:fldCharType="separate"/>
      </w:r>
      <w:r>
        <w:t>6</w:t>
      </w:r>
      <w:r>
        <w:fldChar w:fldCharType="end"/>
      </w:r>
      <w:r>
        <w:fldChar w:fldCharType="end"/>
      </w:r>
    </w:p>
    <w:p w14:paraId="28715806">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"_Toc243324930" </w:instrText>
      </w:r>
      <w:r>
        <w:fldChar w:fldCharType="separate"/>
      </w:r>
      <w:r>
        <w:rPr>
          <w:rStyle w:val="9"/>
        </w:rPr>
        <w:t xml:space="preserve">11 </w:t>
      </w:r>
      <w:r>
        <w:rPr>
          <w:rStyle w:val="9"/>
          <w:rFonts w:hint="eastAsia"/>
        </w:rPr>
        <w:t xml:space="preserve"> 数据可视化</w:t>
      </w:r>
      <w:r>
        <w:tab/>
      </w:r>
      <w:r>
        <w:fldChar w:fldCharType="begin"/>
      </w:r>
      <w:r>
        <w:instrText xml:space="preserve"> PAGEREF _Toc243324930 \h </w:instrText>
      </w:r>
      <w:r>
        <w:fldChar w:fldCharType="separate"/>
      </w:r>
      <w:r>
        <w:t>7</w:t>
      </w:r>
      <w:r>
        <w:fldChar w:fldCharType="end"/>
      </w:r>
      <w:r>
        <w:fldChar w:fldCharType="end"/>
      </w:r>
    </w:p>
    <w:p w14:paraId="1F4A9CBF">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"_Toc243324931" </w:instrText>
      </w:r>
      <w:r>
        <w:fldChar w:fldCharType="separate"/>
      </w:r>
      <w:r>
        <w:rPr>
          <w:rStyle w:val="9"/>
        </w:rPr>
        <w:t xml:space="preserve">12 </w:t>
      </w:r>
      <w:r>
        <w:rPr>
          <w:rStyle w:val="9"/>
          <w:rFonts w:hint="eastAsia"/>
        </w:rPr>
        <w:t xml:space="preserve"> 数据应用</w:t>
      </w:r>
      <w:r>
        <w:tab/>
      </w:r>
      <w:r>
        <w:fldChar w:fldCharType="begin"/>
      </w:r>
      <w:r>
        <w:instrText xml:space="preserve"> PAGEREF _Toc243324931 \h </w:instrText>
      </w:r>
      <w:r>
        <w:fldChar w:fldCharType="separate"/>
      </w:r>
      <w:r>
        <w:t>7</w:t>
      </w:r>
      <w:r>
        <w:fldChar w:fldCharType="end"/>
      </w:r>
      <w:r>
        <w:fldChar w:fldCharType="end"/>
      </w:r>
    </w:p>
    <w:p w14:paraId="0C6C1891">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"_Toc243324932" </w:instrText>
      </w:r>
      <w:r>
        <w:fldChar w:fldCharType="separate"/>
      </w:r>
      <w:r>
        <w:rPr>
          <w:rStyle w:val="9"/>
        </w:rPr>
        <w:t xml:space="preserve">13 </w:t>
      </w:r>
      <w:r>
        <w:rPr>
          <w:rStyle w:val="9"/>
          <w:rFonts w:hint="eastAsia"/>
        </w:rPr>
        <w:t xml:space="preserve"> 数据安全</w:t>
      </w:r>
      <w:r>
        <w:tab/>
      </w:r>
      <w:r>
        <w:fldChar w:fldCharType="begin"/>
      </w:r>
      <w:r>
        <w:instrText xml:space="preserve"> PAGEREF _Toc243324932 \h </w:instrText>
      </w:r>
      <w:r>
        <w:fldChar w:fldCharType="separate"/>
      </w:r>
      <w:r>
        <w:t>8</w:t>
      </w:r>
      <w:r>
        <w:fldChar w:fldCharType="end"/>
      </w:r>
      <w:r>
        <w:fldChar w:fldCharType="end"/>
      </w:r>
    </w:p>
    <w:p w14:paraId="29F7299A">
      <w:pPr>
        <w:pStyle w:val="4"/>
        <w:tabs>
          <w:tab w:val="right" w:leader="dot" w:pos="9344"/>
        </w:tabs>
        <w:rPr>
          <w:rFonts w:asciiTheme="minorHAnsi" w:hAnsiTheme="minorHAnsi" w:eastAsiaTheme="minorEastAsia" w:cstheme="minorBidi"/>
          <w:szCs w:val="22"/>
        </w:rPr>
      </w:pPr>
      <w:r>
        <w:fldChar w:fldCharType="begin"/>
      </w:r>
      <w:r>
        <w:instrText xml:space="preserve"> HYPERLINK \l "_Toc243324933" </w:instrText>
      </w:r>
      <w:r>
        <w:fldChar w:fldCharType="separate"/>
      </w:r>
      <w:r>
        <w:rPr>
          <w:rStyle w:val="9"/>
          <w:rFonts w:hint="eastAsia"/>
        </w:rPr>
        <w:t>附录A（资料性）</w:t>
      </w:r>
      <w:r>
        <w:rPr>
          <w:rStyle w:val="9"/>
        </w:rPr>
        <w:t xml:space="preserve">  </w:t>
      </w:r>
      <w:r>
        <w:rPr>
          <w:rStyle w:val="9"/>
          <w:rFonts w:hint="eastAsia"/>
        </w:rPr>
        <w:t>检验检测机构数据应用指标</w:t>
      </w:r>
      <w:r>
        <w:tab/>
      </w:r>
      <w:r>
        <w:fldChar w:fldCharType="begin"/>
      </w:r>
      <w:r>
        <w:instrText xml:space="preserve"> PAGEREF _Toc243324933 \h </w:instrText>
      </w:r>
      <w:r>
        <w:fldChar w:fldCharType="separate"/>
      </w:r>
      <w:r>
        <w:t>9</w:t>
      </w:r>
      <w:r>
        <w:fldChar w:fldCharType="end"/>
      </w:r>
      <w:r>
        <w:fldChar w:fldCharType="end"/>
      </w:r>
    </w:p>
    <w:p w14:paraId="0E3AD2A0">
      <w:pPr>
        <w:pStyle w:val="24"/>
        <w:spacing w:after="360"/>
        <w:sectPr>
          <w:headerReference r:id="rId9" w:type="default"/>
          <w:footerReference r:id="rId11" w:type="default"/>
          <w:headerReference r:id="rId10" w:type="even"/>
          <w:footerReference r:id="rId12" w:type="even"/>
          <w:pgSz w:w="11906" w:h="16838"/>
          <w:pgMar w:top="1928" w:right="1134" w:bottom="1134" w:left="1134" w:header="1418" w:footer="1134" w:gutter="284"/>
          <w:pgNumType w:fmt="upperRoman" w:start="1"/>
          <w:cols w:space="425" w:num="1"/>
          <w:formProt w:val="0"/>
          <w:docGrid w:linePitch="312" w:charSpace="0"/>
        </w:sectPr>
      </w:pPr>
      <w:r>
        <w:fldChar w:fldCharType="end"/>
      </w:r>
    </w:p>
    <w:bookmarkEnd w:id="22"/>
    <w:p w14:paraId="5A4A3B6B">
      <w:pPr>
        <w:pStyle w:val="25"/>
        <w:spacing w:after="360"/>
      </w:pPr>
      <w:bookmarkStart w:id="35" w:name="_Toc243324919"/>
      <w:bookmarkStart w:id="36" w:name="BookMark2"/>
      <w:r>
        <w:rPr>
          <w:spacing w:val="320"/>
        </w:rPr>
        <w:t>前</w:t>
      </w:r>
      <w:r>
        <w:t>言</w:t>
      </w:r>
      <w:bookmarkEnd w:id="23"/>
      <w:bookmarkEnd w:id="24"/>
      <w:bookmarkEnd w:id="25"/>
      <w:bookmarkEnd w:id="26"/>
      <w:bookmarkEnd w:id="27"/>
      <w:bookmarkEnd w:id="28"/>
      <w:bookmarkEnd w:id="29"/>
      <w:bookmarkEnd w:id="30"/>
      <w:bookmarkEnd w:id="31"/>
      <w:bookmarkEnd w:id="32"/>
      <w:bookmarkEnd w:id="33"/>
      <w:bookmarkEnd w:id="34"/>
      <w:bookmarkEnd w:id="35"/>
    </w:p>
    <w:p w14:paraId="6CD6500F">
      <w:pPr>
        <w:pStyle w:val="13"/>
        <w:ind w:firstLine="420"/>
      </w:pPr>
      <w:r>
        <w:rPr>
          <w:rFonts w:hint="eastAsia"/>
        </w:rPr>
        <w:t>本文件按照GB/T 1.1—2020《标准化工作导则 第1部分：标准化文件的结构和起草规则》的规定起草。</w:t>
      </w:r>
    </w:p>
    <w:p w14:paraId="74CA47A2">
      <w:pPr>
        <w:pStyle w:val="13"/>
        <w:ind w:firstLine="420"/>
      </w:pPr>
      <w:r>
        <w:rPr>
          <w:rFonts w:hint="eastAsia"/>
        </w:rPr>
        <w:t>请注意本文件的某些内容可能涉及专利。本文件的发布机构不承担识别专利的责任。</w:t>
      </w:r>
    </w:p>
    <w:p w14:paraId="0F2AF92E">
      <w:pPr>
        <w:pStyle w:val="13"/>
        <w:ind w:firstLine="420"/>
      </w:pPr>
      <w:r>
        <w:rPr>
          <w:rFonts w:hint="eastAsia"/>
        </w:rPr>
        <w:t>本文件由国家认证认可监督管理委员会提出并归口。</w:t>
      </w:r>
    </w:p>
    <w:p w14:paraId="7EA61FC4">
      <w:pPr>
        <w:pStyle w:val="13"/>
        <w:ind w:firstLine="420"/>
      </w:pPr>
      <w:r>
        <w:rPr>
          <w:rFonts w:hint="eastAsia"/>
        </w:rPr>
        <w:t>本文件起草单位：。</w:t>
      </w:r>
    </w:p>
    <w:p w14:paraId="461D9C09">
      <w:pPr>
        <w:pStyle w:val="13"/>
        <w:ind w:firstLine="420"/>
      </w:pPr>
      <w:r>
        <w:rPr>
          <w:rFonts w:hint="eastAsia"/>
        </w:rPr>
        <w:t>本文件主要起草人：。</w:t>
      </w:r>
    </w:p>
    <w:p w14:paraId="78F7EC98">
      <w:pPr>
        <w:pStyle w:val="13"/>
        <w:ind w:firstLine="420"/>
      </w:pPr>
    </w:p>
    <w:p w14:paraId="5A3C6F90">
      <w:pPr>
        <w:pStyle w:val="13"/>
        <w:ind w:firstLine="420"/>
        <w:sectPr>
          <w:headerReference r:id="rId13" w:type="default"/>
          <w:footerReference r:id="rId15" w:type="default"/>
          <w:headerReference r:id="rId14" w:type="even"/>
          <w:footerReference r:id="rId16" w:type="even"/>
          <w:pgSz w:w="11906" w:h="16838"/>
          <w:pgMar w:top="1928" w:right="1134" w:bottom="1134" w:left="1134" w:header="1418" w:footer="1134" w:gutter="284"/>
          <w:pgNumType w:fmt="upperRoman"/>
          <w:cols w:space="425" w:num="1"/>
          <w:formProt w:val="0"/>
          <w:docGrid w:linePitch="312" w:charSpace="0"/>
        </w:sectPr>
      </w:pPr>
    </w:p>
    <w:bookmarkEnd w:id="36"/>
    <w:p w14:paraId="5B90DA53">
      <w:pPr>
        <w:spacing w:line="20" w:lineRule="exact"/>
        <w:jc w:val="center"/>
        <w:rPr>
          <w:rFonts w:ascii="黑体" w:hAnsi="黑体" w:eastAsia="黑体"/>
          <w:sz w:val="32"/>
          <w:szCs w:val="32"/>
        </w:rPr>
      </w:pPr>
      <w:bookmarkStart w:id="37" w:name="BookMark4"/>
    </w:p>
    <w:p w14:paraId="5F149B62">
      <w:pPr>
        <w:spacing w:line="20" w:lineRule="exact"/>
        <w:jc w:val="center"/>
        <w:rPr>
          <w:rFonts w:ascii="黑体" w:hAnsi="黑体" w:eastAsia="黑体"/>
          <w:sz w:val="32"/>
          <w:szCs w:val="32"/>
        </w:rPr>
      </w:pPr>
    </w:p>
    <w:sdt>
      <w:sdtPr>
        <w:tag w:val="NEW_STAND_NAME"/>
        <w:id w:val="595910757"/>
        <w:lock w:val="sdtLocked"/>
        <w:placeholder>
          <w:docPart w:val="{74f357d2-40ae-4b1c-9ba0-2ff197751186}"/>
        </w:placeholder>
      </w:sdtPr>
      <w:sdtContent>
        <w:p w14:paraId="3499FAC2">
          <w:pPr>
            <w:pStyle w:val="26"/>
            <w:spacing w:before="2" w:beforeLines="1" w:after="528" w:afterLines="220"/>
          </w:pPr>
          <w:bookmarkStart w:id="38" w:name="NEW_STAND_NAME"/>
          <w:r>
            <w:rPr>
              <w:rFonts w:hint="eastAsia"/>
            </w:rPr>
            <w:t>检验检测机构数据分析应用规范</w:t>
          </w:r>
        </w:p>
      </w:sdtContent>
    </w:sdt>
    <w:bookmarkEnd w:id="38"/>
    <w:p w14:paraId="1235BD7F">
      <w:pPr>
        <w:pStyle w:val="27"/>
        <w:spacing w:before="240" w:after="240"/>
      </w:pPr>
      <w:bookmarkStart w:id="39" w:name="_Toc26986530"/>
      <w:bookmarkStart w:id="40" w:name="_Toc243324550"/>
      <w:bookmarkStart w:id="41" w:name="_Toc243324905"/>
      <w:bookmarkStart w:id="42" w:name="_Toc221974270"/>
      <w:bookmarkStart w:id="43" w:name="_Toc221975172"/>
      <w:bookmarkStart w:id="44" w:name="_Toc17233333"/>
      <w:bookmarkStart w:id="45" w:name="_Toc220779216"/>
      <w:bookmarkStart w:id="46" w:name="_Toc24884218"/>
      <w:bookmarkStart w:id="47" w:name="_Toc221971680"/>
      <w:bookmarkStart w:id="48" w:name="_Toc26648465"/>
      <w:bookmarkStart w:id="49" w:name="_Toc224565838"/>
      <w:bookmarkStart w:id="50" w:name="_Toc26718930"/>
      <w:bookmarkStart w:id="51" w:name="_Toc26986771"/>
      <w:bookmarkStart w:id="52" w:name="_Toc243324920"/>
      <w:bookmarkStart w:id="53" w:name="_Toc223012877"/>
      <w:bookmarkStart w:id="54" w:name="_Toc97195091"/>
      <w:bookmarkStart w:id="55" w:name="_Toc17233325"/>
      <w:bookmarkStart w:id="56" w:name="_Toc24884211"/>
      <w:bookmarkStart w:id="57" w:name="_Toc220949378"/>
      <w:bookmarkStart w:id="58" w:name="_Toc224229511"/>
      <w:bookmarkStart w:id="59" w:name="_Toc223642415"/>
      <w:bookmarkStart w:id="60" w:name="_Toc223727446"/>
      <w:r>
        <w:rPr>
          <w:rFonts w:hint="eastAsia"/>
        </w:rPr>
        <w:t>范围</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32B35C85">
      <w:pPr>
        <w:pStyle w:val="13"/>
        <w:ind w:firstLine="420"/>
      </w:pPr>
      <w:bookmarkStart w:id="61" w:name="_Toc24884212"/>
      <w:bookmarkStart w:id="62" w:name="_Toc26648466"/>
      <w:bookmarkStart w:id="63" w:name="_Toc24884219"/>
      <w:bookmarkStart w:id="64" w:name="_Toc17233326"/>
      <w:bookmarkStart w:id="65" w:name="_Toc17233334"/>
      <w:r>
        <w:rPr>
          <w:rFonts w:hint="eastAsia"/>
        </w:rPr>
        <w:t>本文件规定了检验检测机构数据在分析应用中的总体架构、收集、存储、处理、画像数据、分析、可视化、应用、安全等要求。</w:t>
      </w:r>
    </w:p>
    <w:p w14:paraId="25F13AAD">
      <w:pPr>
        <w:pStyle w:val="13"/>
        <w:ind w:firstLine="420"/>
      </w:pPr>
      <w:r>
        <w:rPr>
          <w:rFonts w:hint="eastAsia"/>
        </w:rPr>
        <w:t>本文件适用于市场监督管理</w:t>
      </w:r>
      <w:r>
        <w:rPr>
          <w:rFonts w:hint="eastAsia"/>
          <w:szCs w:val="21"/>
        </w:rPr>
        <w:t>行业主管部门、检验检测机构及相关组织开展</w:t>
      </w:r>
      <w:r>
        <w:rPr>
          <w:rFonts w:hint="eastAsia"/>
        </w:rPr>
        <w:t>检验检测机构数据的分析应用工作。</w:t>
      </w:r>
    </w:p>
    <w:p w14:paraId="3264C8F4">
      <w:pPr>
        <w:pStyle w:val="27"/>
        <w:spacing w:before="240" w:after="240"/>
      </w:pPr>
      <w:bookmarkStart w:id="66" w:name="_Toc221971681"/>
      <w:bookmarkStart w:id="67" w:name="_Toc243324921"/>
      <w:bookmarkStart w:id="68" w:name="_Toc26986772"/>
      <w:bookmarkStart w:id="69" w:name="_Toc223727447"/>
      <w:bookmarkStart w:id="70" w:name="_Toc97195092"/>
      <w:bookmarkStart w:id="71" w:name="_Toc221975173"/>
      <w:bookmarkStart w:id="72" w:name="_Toc26718931"/>
      <w:bookmarkStart w:id="73" w:name="_Toc243324551"/>
      <w:bookmarkStart w:id="74" w:name="_Toc26986531"/>
      <w:bookmarkStart w:id="75" w:name="_Toc220779217"/>
      <w:bookmarkStart w:id="76" w:name="_Toc220949379"/>
      <w:bookmarkStart w:id="77" w:name="_Toc243324906"/>
      <w:bookmarkStart w:id="78" w:name="_Toc223012878"/>
      <w:bookmarkStart w:id="79" w:name="_Toc224565839"/>
      <w:bookmarkStart w:id="80" w:name="_Toc223642416"/>
      <w:bookmarkStart w:id="81" w:name="_Toc224229512"/>
      <w:bookmarkStart w:id="82" w:name="_Toc221974271"/>
      <w:r>
        <w:rPr>
          <w:rFonts w:hint="eastAsia"/>
        </w:rPr>
        <w:t>规范性引用文件</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sdt>
      <w:sdtPr>
        <w:rPr>
          <w:rFonts w:hint="eastAsia"/>
        </w:rPr>
        <w:id w:val="715848253"/>
        <w:placeholder>
          <w:docPart w:val="{0633fdd6-5914-4f61-9953-585f245e5fd5}"/>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5F7E04C4">
          <w:pPr>
            <w:pStyle w:val="13"/>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0089C207">
      <w:pPr>
        <w:pStyle w:val="13"/>
        <w:ind w:firstLine="420"/>
        <w:rPr>
          <w:rFonts w:hAnsi="宋体"/>
        </w:rPr>
      </w:pPr>
      <w:bookmarkStart w:id="83" w:name="OLE_LINK8"/>
      <w:bookmarkStart w:id="84" w:name="OLE_LINK9"/>
      <w:r>
        <w:rPr>
          <w:rFonts w:hAnsi="宋体" w:cs="NEU-BZ-S92-Regular"/>
        </w:rPr>
        <w:t>GB/T 22239</w:t>
      </w:r>
      <w:bookmarkEnd w:id="83"/>
      <w:bookmarkEnd w:id="84"/>
      <w:r>
        <w:rPr>
          <w:rFonts w:hAnsi="宋体" w:cs="NEU-BZ-S92-Regular"/>
        </w:rPr>
        <w:t xml:space="preserve"> </w:t>
      </w:r>
      <w:r>
        <w:rPr>
          <w:rFonts w:hAnsi="宋体"/>
        </w:rPr>
        <w:t>信息安全技术 网络安全等级保护基本要求</w:t>
      </w:r>
    </w:p>
    <w:p w14:paraId="3FE52C75">
      <w:pPr>
        <w:pStyle w:val="13"/>
        <w:ind w:firstLine="420"/>
        <w:rPr>
          <w:rFonts w:hAnsi="宋体"/>
        </w:rPr>
      </w:pPr>
      <w:r>
        <w:rPr>
          <w:rFonts w:hAnsi="宋体"/>
        </w:rPr>
        <w:t>GB/T 34960.5</w:t>
      </w:r>
      <w:r>
        <w:rPr>
          <w:rFonts w:hint="eastAsia" w:hAnsi="宋体"/>
        </w:rPr>
        <w:t xml:space="preserve"> </w:t>
      </w:r>
      <w:r>
        <w:rPr>
          <w:rFonts w:hAnsi="宋体"/>
        </w:rPr>
        <w:t>信息技术服务 治理 第5部分：数据治理规范</w:t>
      </w:r>
    </w:p>
    <w:p w14:paraId="55E75AE5">
      <w:pPr>
        <w:pStyle w:val="13"/>
        <w:ind w:firstLine="420"/>
        <w:rPr>
          <w:rFonts w:hAnsi="宋体"/>
        </w:rPr>
      </w:pPr>
      <w:bookmarkStart w:id="85" w:name="OLE_LINK6"/>
      <w:bookmarkStart w:id="86" w:name="OLE_LINK7"/>
      <w:r>
        <w:rPr>
          <w:rFonts w:hAnsi="宋体"/>
        </w:rPr>
        <w:t>GB/T 35273</w:t>
      </w:r>
      <w:bookmarkEnd w:id="85"/>
      <w:bookmarkEnd w:id="86"/>
      <w:r>
        <w:rPr>
          <w:rFonts w:hAnsi="宋体"/>
        </w:rPr>
        <w:t xml:space="preserve"> 信息安全技术 个人信息安全规范</w:t>
      </w:r>
    </w:p>
    <w:p w14:paraId="2796F90E">
      <w:pPr>
        <w:pStyle w:val="13"/>
        <w:ind w:firstLine="420"/>
        <w:rPr>
          <w:rFonts w:hAnsi="宋体"/>
        </w:rPr>
      </w:pPr>
      <w:bookmarkStart w:id="87" w:name="OLE_LINK10"/>
      <w:bookmarkStart w:id="88" w:name="OLE_LINK11"/>
      <w:r>
        <w:rPr>
          <w:rFonts w:hint="eastAsia" w:hAnsi="宋体"/>
        </w:rPr>
        <w:t>GB/T 35295</w:t>
      </w:r>
      <w:r>
        <w:rPr>
          <w:rFonts w:hAnsi="宋体"/>
        </w:rPr>
        <w:t xml:space="preserve"> 信息技术 大数据 术语</w:t>
      </w:r>
    </w:p>
    <w:p w14:paraId="65DD5D35">
      <w:pPr>
        <w:pStyle w:val="13"/>
        <w:ind w:firstLine="420"/>
        <w:rPr>
          <w:rFonts w:hAnsi="宋体"/>
        </w:rPr>
      </w:pPr>
      <w:r>
        <w:rPr>
          <w:rFonts w:hAnsi="宋体"/>
        </w:rPr>
        <w:t xml:space="preserve">GB/T </w:t>
      </w:r>
      <w:bookmarkStart w:id="89" w:name="OLE_LINK49"/>
      <w:bookmarkStart w:id="90" w:name="OLE_LINK14"/>
      <w:r>
        <w:rPr>
          <w:rFonts w:hAnsi="宋体"/>
        </w:rPr>
        <w:t>37973</w:t>
      </w:r>
      <w:bookmarkEnd w:id="87"/>
      <w:bookmarkEnd w:id="88"/>
      <w:bookmarkEnd w:id="89"/>
      <w:bookmarkEnd w:id="90"/>
      <w:r>
        <w:rPr>
          <w:rFonts w:hint="eastAsia" w:hAnsi="宋体"/>
        </w:rPr>
        <w:t xml:space="preserve"> </w:t>
      </w:r>
      <w:r>
        <w:rPr>
          <w:rFonts w:hAnsi="宋体"/>
        </w:rPr>
        <w:t>信息安全技术 大数据安全管理指南</w:t>
      </w:r>
    </w:p>
    <w:p w14:paraId="784DB343">
      <w:pPr>
        <w:pStyle w:val="27"/>
        <w:spacing w:before="240" w:after="240"/>
      </w:pPr>
      <w:bookmarkStart w:id="91" w:name="_Toc243324907"/>
      <w:bookmarkStart w:id="92" w:name="_Toc224565840"/>
      <w:bookmarkStart w:id="93" w:name="_Toc220949380"/>
      <w:bookmarkStart w:id="94" w:name="_Toc223727448"/>
      <w:bookmarkStart w:id="95" w:name="_Toc243324552"/>
      <w:bookmarkStart w:id="96" w:name="_Toc221971682"/>
      <w:bookmarkStart w:id="97" w:name="_Toc223642417"/>
      <w:bookmarkStart w:id="98" w:name="_Toc224229513"/>
      <w:bookmarkStart w:id="99" w:name="_Toc243324922"/>
      <w:bookmarkStart w:id="100" w:name="_Toc223012879"/>
      <w:bookmarkStart w:id="101" w:name="_Toc220779218"/>
      <w:bookmarkStart w:id="102" w:name="_Toc221974272"/>
      <w:bookmarkStart w:id="103" w:name="_Toc221975174"/>
      <w:bookmarkStart w:id="104" w:name="_Toc97195093"/>
      <w:r>
        <w:rPr>
          <w:rFonts w:hint="eastAsia"/>
          <w:szCs w:val="21"/>
        </w:rPr>
        <w:t>术语和定义</w:t>
      </w:r>
      <w:bookmarkEnd w:id="91"/>
      <w:bookmarkEnd w:id="92"/>
      <w:bookmarkEnd w:id="93"/>
      <w:bookmarkEnd w:id="94"/>
      <w:bookmarkEnd w:id="95"/>
      <w:bookmarkEnd w:id="96"/>
      <w:bookmarkEnd w:id="97"/>
      <w:bookmarkEnd w:id="98"/>
      <w:bookmarkEnd w:id="99"/>
      <w:bookmarkEnd w:id="100"/>
      <w:bookmarkEnd w:id="101"/>
      <w:bookmarkEnd w:id="102"/>
      <w:bookmarkEnd w:id="103"/>
      <w:bookmarkEnd w:id="104"/>
    </w:p>
    <w:sdt>
      <w:sdtPr>
        <w:id w:val="-1"/>
        <w:placeholder>
          <w:docPart w:val="{9c7a59e1-bf21-4b7e-8eb2-269ec487f11d}"/>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57E2F897">
          <w:pPr>
            <w:pStyle w:val="13"/>
            <w:ind w:firstLine="420"/>
            <w:rPr>
              <w:rFonts w:ascii="黑体" w:hAnsi="黑体" w:eastAsia="黑体"/>
              <w:color w:val="FF0000"/>
            </w:rPr>
          </w:pPr>
          <w:bookmarkStart w:id="105" w:name="_Toc26986532"/>
          <w:bookmarkEnd w:id="105"/>
          <w:r>
            <w:t>下列术语和定义适用于本文件。</w:t>
          </w:r>
        </w:p>
      </w:sdtContent>
    </w:sdt>
    <w:p w14:paraId="39679E62">
      <w:pPr>
        <w:pStyle w:val="28"/>
        <w:ind w:left="420" w:hanging="420" w:hangingChars="200"/>
        <w:rPr>
          <w:rFonts w:ascii="黑体" w:hAnsi="黑体" w:eastAsia="黑体"/>
        </w:rPr>
      </w:pPr>
      <w:r>
        <w:rPr>
          <w:rFonts w:ascii="黑体" w:hAnsi="黑体" w:eastAsia="黑体"/>
        </w:rPr>
        <w:br w:type="textWrapping"/>
      </w:r>
      <w:r>
        <w:rPr>
          <w:rFonts w:hint="eastAsia" w:ascii="黑体" w:hAnsi="黑体" w:eastAsia="黑体"/>
        </w:rPr>
        <w:t>分布式计算　distributed computing</w:t>
      </w:r>
    </w:p>
    <w:p w14:paraId="5733F429">
      <w:pPr>
        <w:pStyle w:val="13"/>
        <w:ind w:firstLine="420"/>
      </w:pPr>
      <w:r>
        <w:rPr>
          <w:rFonts w:hint="eastAsia"/>
        </w:rPr>
        <w:t>一种覆盖存储层和处理层的、用于实现多类型程序设计算法模型的计算模式。</w:t>
      </w:r>
    </w:p>
    <w:p w14:paraId="7F2AAB92">
      <w:pPr>
        <w:pStyle w:val="13"/>
        <w:ind w:firstLine="420"/>
      </w:pPr>
      <w:r>
        <w:rPr>
          <w:rFonts w:hint="eastAsia"/>
        </w:rPr>
        <w:t>注：分布式计算结果通常加载到分析环境。MapReduce是数据分布式计算中默认的处理构件。</w:t>
      </w:r>
    </w:p>
    <w:p w14:paraId="230508B6">
      <w:pPr>
        <w:pStyle w:val="13"/>
        <w:ind w:firstLine="420"/>
        <w:rPr>
          <w:rFonts w:hAnsi="宋体"/>
        </w:rPr>
      </w:pPr>
      <w:r>
        <w:rPr>
          <w:rFonts w:hint="eastAsia" w:hAnsi="宋体"/>
        </w:rPr>
        <w:t>[来源：GB/T 35295-2017</w:t>
      </w:r>
      <w:r>
        <w:rPr>
          <w:rFonts w:hAnsi="宋体"/>
        </w:rPr>
        <w:t>，</w:t>
      </w:r>
      <w:r>
        <w:rPr>
          <w:rFonts w:hint="eastAsia" w:hAnsi="宋体"/>
        </w:rPr>
        <w:t>2</w:t>
      </w:r>
      <w:r>
        <w:rPr>
          <w:rFonts w:hAnsi="宋体"/>
        </w:rPr>
        <w:t>．</w:t>
      </w:r>
      <w:r>
        <w:rPr>
          <w:rFonts w:hint="eastAsia" w:hAnsi="宋体"/>
        </w:rPr>
        <w:t>1</w:t>
      </w:r>
      <w:r>
        <w:rPr>
          <w:rFonts w:hAnsi="宋体"/>
        </w:rPr>
        <w:t>．</w:t>
      </w:r>
      <w:r>
        <w:rPr>
          <w:rFonts w:hint="eastAsia" w:hAnsi="宋体"/>
        </w:rPr>
        <w:t>22</w:t>
      </w:r>
      <w:r>
        <w:rPr>
          <w:rFonts w:hAnsi="宋体"/>
        </w:rPr>
        <w:t>］</w:t>
      </w:r>
    </w:p>
    <w:p w14:paraId="132BED96">
      <w:pPr>
        <w:pStyle w:val="27"/>
        <w:spacing w:before="240" w:after="240"/>
      </w:pPr>
      <w:bookmarkStart w:id="106" w:name="_Toc243324908"/>
      <w:bookmarkStart w:id="107" w:name="_Toc243324923"/>
      <w:bookmarkStart w:id="108" w:name="_Toc223642418"/>
      <w:bookmarkStart w:id="109" w:name="_Toc221974273"/>
      <w:bookmarkStart w:id="110" w:name="_Toc224229514"/>
      <w:bookmarkStart w:id="111" w:name="_Toc221971683"/>
      <w:bookmarkStart w:id="112" w:name="_Toc224565841"/>
      <w:bookmarkStart w:id="113" w:name="_Toc223012880"/>
      <w:bookmarkStart w:id="114" w:name="_Toc223727449"/>
      <w:bookmarkStart w:id="115" w:name="_Toc221975175"/>
      <w:bookmarkStart w:id="116" w:name="_Toc243324553"/>
      <w:r>
        <w:rPr>
          <w:rFonts w:hint="eastAsia"/>
        </w:rPr>
        <w:t>缩略语</w:t>
      </w:r>
      <w:bookmarkEnd w:id="106"/>
      <w:bookmarkEnd w:id="107"/>
      <w:bookmarkEnd w:id="108"/>
      <w:bookmarkEnd w:id="109"/>
      <w:bookmarkEnd w:id="110"/>
      <w:bookmarkEnd w:id="111"/>
      <w:bookmarkEnd w:id="112"/>
      <w:bookmarkEnd w:id="113"/>
      <w:bookmarkEnd w:id="114"/>
      <w:bookmarkEnd w:id="115"/>
      <w:bookmarkEnd w:id="116"/>
    </w:p>
    <w:p w14:paraId="17464134">
      <w:pPr>
        <w:autoSpaceDE w:val="0"/>
        <w:autoSpaceDN w:val="0"/>
        <w:spacing w:line="240" w:lineRule="auto"/>
        <w:ind w:firstLine="420" w:firstLineChars="200"/>
        <w:jc w:val="left"/>
        <w:rPr>
          <w:rFonts w:ascii="Times New Roman" w:hAnsi="Times New Roman"/>
          <w:kern w:val="0"/>
          <w:szCs w:val="20"/>
        </w:rPr>
      </w:pPr>
      <w:r>
        <w:rPr>
          <w:rFonts w:hint="eastAsia" w:ascii="Times New Roman" w:hAnsi="Times New Roman"/>
          <w:kern w:val="0"/>
          <w:szCs w:val="20"/>
        </w:rPr>
        <w:t>下列缩略语适用于本文件。</w:t>
      </w:r>
    </w:p>
    <w:p w14:paraId="7D4013B8">
      <w:pPr>
        <w:autoSpaceDE w:val="0"/>
        <w:autoSpaceDN w:val="0"/>
        <w:spacing w:line="240" w:lineRule="auto"/>
        <w:ind w:firstLine="420" w:firstLineChars="200"/>
        <w:jc w:val="left"/>
        <w:rPr>
          <w:rFonts w:ascii="Times New Roman" w:hAnsi="Times New Roman"/>
          <w:kern w:val="0"/>
          <w:szCs w:val="20"/>
        </w:rPr>
      </w:pPr>
      <w:r>
        <w:rPr>
          <w:rFonts w:hint="eastAsia" w:ascii="Times New Roman" w:hAnsi="Times New Roman"/>
          <w:kern w:val="0"/>
          <w:szCs w:val="20"/>
        </w:rPr>
        <w:t>API</w:t>
      </w:r>
      <w:r>
        <w:rPr>
          <w:rFonts w:ascii="Times New Roman" w:hAnsi="Times New Roman"/>
          <w:kern w:val="0"/>
          <w:szCs w:val="20"/>
        </w:rPr>
        <w:t>：应用程序接口</w:t>
      </w:r>
      <w:r>
        <w:rPr>
          <w:rFonts w:hint="eastAsia" w:ascii="Times New Roman" w:hAnsi="Times New Roman"/>
          <w:kern w:val="0"/>
          <w:szCs w:val="20"/>
        </w:rPr>
        <w:t>(Application Programming Interface)</w:t>
      </w:r>
    </w:p>
    <w:p w14:paraId="1E418404">
      <w:pPr>
        <w:autoSpaceDE w:val="0"/>
        <w:autoSpaceDN w:val="0"/>
        <w:spacing w:line="240" w:lineRule="auto"/>
        <w:ind w:firstLine="420" w:firstLineChars="200"/>
        <w:jc w:val="left"/>
        <w:rPr>
          <w:rFonts w:ascii="Times New Roman" w:hAnsi="Times New Roman"/>
        </w:rPr>
      </w:pPr>
      <w:r>
        <w:rPr>
          <w:rFonts w:ascii="Times New Roman" w:hAnsi="Times New Roman"/>
        </w:rPr>
        <w:t>OLAP</w:t>
      </w:r>
      <w:r>
        <w:rPr>
          <w:rFonts w:hint="eastAsia" w:ascii="Times New Roman" w:hAnsi="Times New Roman"/>
        </w:rPr>
        <w:t>：</w:t>
      </w:r>
      <w:r>
        <w:rPr>
          <w:rFonts w:hint="eastAsia" w:ascii="Times New Roman" w:hAnsi="Times New Roman"/>
          <w:kern w:val="0"/>
          <w:szCs w:val="20"/>
        </w:rPr>
        <w:t>联机分析处理(On Line Analytical Processing)</w:t>
      </w:r>
    </w:p>
    <w:p w14:paraId="52723ED4">
      <w:pPr>
        <w:autoSpaceDE w:val="0"/>
        <w:autoSpaceDN w:val="0"/>
        <w:spacing w:line="240" w:lineRule="auto"/>
        <w:ind w:firstLine="420" w:firstLineChars="200"/>
        <w:jc w:val="left"/>
        <w:rPr>
          <w:rFonts w:ascii="Times New Roman" w:hAnsi="Times New Roman"/>
          <w:kern w:val="0"/>
          <w:szCs w:val="20"/>
        </w:rPr>
      </w:pPr>
      <w:r>
        <w:rPr>
          <w:rFonts w:hint="eastAsia"/>
        </w:rPr>
        <w:t>JSON</w:t>
      </w:r>
      <w:r>
        <w:rPr>
          <w:rFonts w:hint="eastAsia" w:ascii="Times New Roman" w:hAnsi="Times New Roman"/>
          <w:kern w:val="0"/>
          <w:szCs w:val="20"/>
        </w:rPr>
        <w:t>：JavaScript对象表示法（JavaScript Object Notation）</w:t>
      </w:r>
    </w:p>
    <w:p w14:paraId="03E13FC2">
      <w:pPr>
        <w:autoSpaceDE w:val="0"/>
        <w:autoSpaceDN w:val="0"/>
        <w:spacing w:line="240" w:lineRule="auto"/>
        <w:ind w:firstLine="420" w:firstLineChars="200"/>
        <w:jc w:val="left"/>
        <w:rPr>
          <w:rFonts w:ascii="Times New Roman" w:hAnsi="Times New Roman"/>
          <w:kern w:val="0"/>
          <w:szCs w:val="20"/>
        </w:rPr>
      </w:pPr>
      <w:r>
        <w:rPr>
          <w:rFonts w:hint="eastAsia" w:ascii="Times New Roman" w:hAnsi="Times New Roman"/>
          <w:kern w:val="0"/>
          <w:szCs w:val="20"/>
        </w:rPr>
        <w:t>REST</w:t>
      </w:r>
      <w:r>
        <w:rPr>
          <w:rFonts w:ascii="Times New Roman" w:hAnsi="Times New Roman"/>
          <w:kern w:val="0"/>
          <w:szCs w:val="20"/>
        </w:rPr>
        <w:t>：表述性状态转移</w:t>
      </w:r>
      <w:r>
        <w:rPr>
          <w:rFonts w:hint="eastAsia" w:ascii="Times New Roman" w:hAnsi="Times New Roman"/>
          <w:kern w:val="0"/>
          <w:szCs w:val="20"/>
        </w:rPr>
        <w:t>(Representational State Transfer)</w:t>
      </w:r>
    </w:p>
    <w:p w14:paraId="7357A8CD">
      <w:pPr>
        <w:autoSpaceDE w:val="0"/>
        <w:autoSpaceDN w:val="0"/>
        <w:spacing w:line="240" w:lineRule="auto"/>
        <w:ind w:firstLine="420" w:firstLineChars="200"/>
        <w:jc w:val="left"/>
        <w:rPr>
          <w:rFonts w:ascii="Times New Roman" w:hAnsi="Times New Roman"/>
          <w:kern w:val="0"/>
          <w:szCs w:val="20"/>
        </w:rPr>
      </w:pPr>
      <w:r>
        <w:rPr>
          <w:rFonts w:hint="eastAsia"/>
        </w:rPr>
        <w:t>XML：可扩展标记语言（Extensible Markup Language）</w:t>
      </w:r>
    </w:p>
    <w:p w14:paraId="04F3AA93">
      <w:pPr>
        <w:pStyle w:val="27"/>
        <w:spacing w:before="240" w:after="240"/>
      </w:pPr>
      <w:bookmarkStart w:id="117" w:name="_Toc223642419"/>
      <w:bookmarkStart w:id="118" w:name="_Toc224229515"/>
      <w:bookmarkStart w:id="119" w:name="_Toc224565842"/>
      <w:bookmarkStart w:id="120" w:name="_Toc223727450"/>
      <w:bookmarkStart w:id="121" w:name="_Toc243324909"/>
      <w:bookmarkStart w:id="122" w:name="_Toc243324554"/>
      <w:bookmarkStart w:id="123" w:name="_Toc243324924"/>
      <w:r>
        <w:rPr>
          <w:rFonts w:hint="eastAsia"/>
        </w:rPr>
        <w:t>数据分析应用</w:t>
      </w:r>
      <w:bookmarkEnd w:id="117"/>
      <w:bookmarkEnd w:id="118"/>
      <w:bookmarkEnd w:id="119"/>
      <w:bookmarkEnd w:id="120"/>
      <w:r>
        <w:rPr>
          <w:rFonts w:hint="eastAsia"/>
        </w:rPr>
        <w:t>总体架构</w:t>
      </w:r>
      <w:bookmarkEnd w:id="121"/>
      <w:bookmarkEnd w:id="122"/>
      <w:bookmarkEnd w:id="123"/>
    </w:p>
    <w:p w14:paraId="12E384AC">
      <w:pPr>
        <w:pStyle w:val="13"/>
        <w:ind w:firstLine="420"/>
      </w:pPr>
      <w:r>
        <w:rPr>
          <w:rFonts w:hint="eastAsia"/>
        </w:rPr>
        <w:t>检验检测机构数据基于</w:t>
      </w:r>
      <w:bookmarkStart w:id="124" w:name="OLE_LINK22"/>
      <w:bookmarkStart w:id="125" w:name="OLE_LINK23"/>
      <w:r>
        <w:rPr>
          <w:rFonts w:hint="eastAsia"/>
        </w:rPr>
        <w:t>市场监管数据平台</w:t>
      </w:r>
      <w:bookmarkEnd w:id="124"/>
      <w:bookmarkEnd w:id="125"/>
      <w:r>
        <w:rPr>
          <w:rFonts w:hint="eastAsia"/>
        </w:rPr>
        <w:t>开展分析应用，系统框架如图1所示，各模块间存在相互作用，主要从以下7个模块做出要求：</w:t>
      </w:r>
    </w:p>
    <w:p w14:paraId="3D6587F6">
      <w:pPr>
        <w:pStyle w:val="31"/>
      </w:pPr>
      <w:bookmarkStart w:id="126" w:name="OLE_LINK20"/>
      <w:bookmarkStart w:id="127" w:name="OLE_LINK21"/>
      <w:r>
        <w:rPr>
          <w:rFonts w:hint="eastAsia"/>
        </w:rPr>
        <w:t>数据收集模块的功能要求：</w:t>
      </w:r>
      <w:bookmarkEnd w:id="126"/>
      <w:bookmarkEnd w:id="127"/>
      <w:r>
        <w:rPr>
          <w:rFonts w:ascii="Tahoma" w:hAnsi="Tahoma" w:cs="Tahoma"/>
        </w:rPr>
        <w:t>通过编制并动态更新资源目录，利用逻辑接入或物理汇聚方式，全面支持多类型、多模式的数据导入，以</w:t>
      </w:r>
      <w:r>
        <w:rPr>
          <w:rFonts w:hint="eastAsia" w:ascii="Tahoma" w:hAnsi="Tahoma" w:cs="Tahoma"/>
        </w:rPr>
        <w:t>收集</w:t>
      </w:r>
      <w:r>
        <w:rPr>
          <w:rFonts w:ascii="Tahoma" w:hAnsi="Tahoma" w:cs="Tahoma"/>
        </w:rPr>
        <w:t>涵盖机构</w:t>
      </w:r>
      <w:r>
        <w:rPr>
          <w:rFonts w:hint="eastAsia" w:ascii="Tahoma" w:hAnsi="Tahoma" w:cs="Tahoma"/>
        </w:rPr>
        <w:t>基本信息</w:t>
      </w:r>
      <w:r>
        <w:rPr>
          <w:rFonts w:ascii="Tahoma" w:hAnsi="Tahoma" w:cs="Tahoma"/>
        </w:rPr>
        <w:t>、</w:t>
      </w:r>
      <w:r>
        <w:rPr>
          <w:rFonts w:hint="eastAsia" w:ascii="Tahoma" w:hAnsi="Tahoma" w:cs="Tahoma"/>
        </w:rPr>
        <w:t>经营状况</w:t>
      </w:r>
      <w:r>
        <w:rPr>
          <w:rFonts w:ascii="Tahoma" w:hAnsi="Tahoma" w:cs="Tahoma"/>
        </w:rPr>
        <w:t>、</w:t>
      </w:r>
      <w:r>
        <w:rPr>
          <w:rFonts w:hint="eastAsia" w:ascii="Tahoma" w:hAnsi="Tahoma" w:cs="Tahoma"/>
        </w:rPr>
        <w:t>监管信息</w:t>
      </w:r>
      <w:r>
        <w:rPr>
          <w:rFonts w:ascii="Tahoma" w:hAnsi="Tahoma" w:cs="Tahoma"/>
        </w:rPr>
        <w:t>、能力</w:t>
      </w:r>
      <w:r>
        <w:rPr>
          <w:rFonts w:hint="eastAsia" w:ascii="Tahoma" w:hAnsi="Tahoma" w:cs="Tahoma"/>
        </w:rPr>
        <w:t>水平</w:t>
      </w:r>
      <w:r>
        <w:rPr>
          <w:rFonts w:ascii="Tahoma" w:hAnsi="Tahoma" w:cs="Tahoma"/>
        </w:rPr>
        <w:t>等全方位监管数据</w:t>
      </w:r>
      <w:r>
        <w:rPr>
          <w:rFonts w:hint="eastAsia" w:ascii="Tahoma" w:hAnsi="Tahoma" w:cs="Tahoma"/>
        </w:rPr>
        <w:t>；</w:t>
      </w:r>
    </w:p>
    <w:p w14:paraId="7B1DBB29">
      <w:pPr>
        <w:pStyle w:val="31"/>
      </w:pPr>
      <w:r>
        <w:rPr>
          <w:rFonts w:hint="eastAsia"/>
        </w:rPr>
        <w:t>数据存储模块的功能要求：</w:t>
      </w:r>
      <w:r>
        <w:rPr>
          <w:rFonts w:ascii="Tahoma" w:hAnsi="Tahoma" w:cs="Tahoma"/>
        </w:rPr>
        <w:t>提供支持多类型数据的存储功能，涵盖文件全生命周期基本操作，并支持具备多副本容灾恢复机制的分布式文件存储</w:t>
      </w:r>
      <w:r>
        <w:rPr>
          <w:rFonts w:hint="eastAsia" w:ascii="Tahoma" w:hAnsi="Tahoma" w:cs="Tahoma"/>
        </w:rPr>
        <w:t>；</w:t>
      </w:r>
    </w:p>
    <w:p w14:paraId="3EA20915">
      <w:pPr>
        <w:pStyle w:val="31"/>
      </w:pPr>
      <w:r>
        <w:rPr>
          <w:rFonts w:hint="eastAsia"/>
        </w:rPr>
        <w:t>数据处理模块的功能要求：</w:t>
      </w:r>
      <w:r>
        <w:t>建立统一清洗规则与质量管控体系，对数据全生命周期进行规范性校验、问题修正及可追溯监督，确保检验检测机构数据的合规性、准确性与应用价值</w:t>
      </w:r>
      <w:r>
        <w:rPr>
          <w:rFonts w:hint="eastAsia"/>
        </w:rPr>
        <w:t>；</w:t>
      </w:r>
    </w:p>
    <w:p w14:paraId="694347C3">
      <w:pPr>
        <w:pStyle w:val="31"/>
      </w:pPr>
      <w:bookmarkStart w:id="128" w:name="OLE_LINK50"/>
      <w:bookmarkStart w:id="129" w:name="OLE_LINK13"/>
      <w:r>
        <w:rPr>
          <w:rFonts w:hint="eastAsia"/>
        </w:rPr>
        <w:t>画像数据</w:t>
      </w:r>
      <w:bookmarkEnd w:id="128"/>
      <w:bookmarkEnd w:id="129"/>
      <w:r>
        <w:rPr>
          <w:rFonts w:hint="eastAsia"/>
        </w:rPr>
        <w:t>模块的功能要求：规定检验检测机构画像的数据结构、元数据规范及采集要求，通过登记注册、信用监管、行政执法、投诉举报、资质认定、监督检查、能力验证、知识产权、合格评定、标准化等多维度指标，</w:t>
      </w:r>
      <w:r>
        <w:t>构建检验检测</w:t>
      </w:r>
      <w:r>
        <w:rPr>
          <w:rFonts w:hAnsi="宋体"/>
        </w:rPr>
        <w:t>机构“全景画像”，</w:t>
      </w:r>
      <w:r>
        <w:t>以统一社会信用代码为纽带建立检验检测数据间的有机联系，打通数据孤岛，从身份、能力、行为、风险等多维度实现对检验检测机构的全面深入了解</w:t>
      </w:r>
      <w:r>
        <w:rPr>
          <w:rFonts w:hint="eastAsia"/>
        </w:rPr>
        <w:t>；</w:t>
      </w:r>
    </w:p>
    <w:p w14:paraId="5524FB93">
      <w:pPr>
        <w:pStyle w:val="31"/>
      </w:pPr>
      <w:r>
        <w:rPr>
          <w:rFonts w:hint="eastAsia"/>
        </w:rPr>
        <w:t>数据分析模块的功能要求：</w:t>
      </w:r>
      <w:r>
        <w:t>构建涵盖标准接口查询、机器学习建模、基础统计、离线与实时流计算及交互式联机分析的全方位数据</w:t>
      </w:r>
      <w:r>
        <w:rPr>
          <w:rFonts w:hint="eastAsia"/>
        </w:rPr>
        <w:t>分析</w:t>
      </w:r>
      <w:r>
        <w:t>能力，支持从数据索引加速、分布式调度到可视化展示的全链路分析需求</w:t>
      </w:r>
      <w:r>
        <w:rPr>
          <w:rFonts w:hint="eastAsia"/>
        </w:rPr>
        <w:t>；</w:t>
      </w:r>
    </w:p>
    <w:p w14:paraId="06D41A49">
      <w:pPr>
        <w:pStyle w:val="31"/>
      </w:pPr>
      <w:r>
        <w:rPr>
          <w:rFonts w:hint="eastAsia"/>
        </w:rPr>
        <w:t>数据可视化模块的功能要求：</w:t>
      </w:r>
      <w:r>
        <w:t>支持多源数据格式输入，提供涵盖柱状图、地图等丰富图表类型的高维数据可视化展示能力，</w:t>
      </w:r>
      <w:r>
        <w:rPr>
          <w:rFonts w:hint="eastAsia"/>
        </w:rPr>
        <w:t>并根据需要提供</w:t>
      </w:r>
      <w:r>
        <w:t>算法模型评估可视化及第三方工具API集成功能</w:t>
      </w:r>
      <w:r>
        <w:rPr>
          <w:rFonts w:hint="eastAsia"/>
        </w:rPr>
        <w:t>；</w:t>
      </w:r>
    </w:p>
    <w:p w14:paraId="12011ADE">
      <w:pPr>
        <w:pStyle w:val="31"/>
      </w:pPr>
      <w:r>
        <w:rPr>
          <w:rFonts w:hint="eastAsia"/>
        </w:rPr>
        <w:t>数据应用模块的功能要求：</w:t>
      </w:r>
      <w:r>
        <w:t>构建</w:t>
      </w:r>
      <w:r>
        <w:rPr>
          <w:rFonts w:hint="eastAsia"/>
        </w:rPr>
        <w:t>合规判定场景、风险监测场景、诚信评估场景、数智化评估场景、报告溯源验证场景</w:t>
      </w:r>
      <w:r>
        <w:t>，以实现对检验检测机构</w:t>
      </w:r>
      <w:r>
        <w:rPr>
          <w:rFonts w:hint="eastAsia"/>
        </w:rPr>
        <w:t>的数据应用评估判定；</w:t>
      </w:r>
    </w:p>
    <w:p w14:paraId="4F7080E7">
      <w:pPr>
        <w:pStyle w:val="31"/>
      </w:pPr>
      <w:r>
        <w:rPr>
          <w:rFonts w:hint="eastAsia"/>
        </w:rPr>
        <w:t>数据安全模块的功能要求：</w:t>
      </w:r>
      <w:r>
        <w:t>建立涵盖数据分类分级、全生命周期防护、商业秘密与个人信息专项保护以及网络安全等级保护的数据安全管理体系，全面落实安全保护责任</w:t>
      </w:r>
      <w:r>
        <w:rPr>
          <w:rFonts w:hint="eastAsia"/>
        </w:rPr>
        <w:t>。</w:t>
      </w:r>
    </w:p>
    <w:p w14:paraId="2A0DF7FC">
      <w:pPr>
        <w:pStyle w:val="13"/>
        <w:ind w:firstLine="0" w:firstLineChars="0"/>
        <w:jc w:val="center"/>
      </w:pPr>
      <w:r>
        <w:t xml:space="preserve"> </w:t>
      </w:r>
      <w:r>
        <w:object>
          <v:shape id="_x0000_i1025" o:spt="75" type="#_x0000_t75" style="height:549.75pt;width:324pt;" o:ole="t" filled="f" o:preferrelative="t" stroked="f" coordsize="21600,21600">
            <v:path/>
            <v:fill on="f" focussize="0,0"/>
            <v:stroke on="f" joinstyle="miter"/>
            <v:imagedata r:id="rId27" o:title=""/>
            <o:lock v:ext="edit" aspectratio="t"/>
            <w10:wrap type="none"/>
            <w10:anchorlock/>
          </v:shape>
          <o:OLEObject Type="Embed" ProgID="Visio.Drawing.15" ShapeID="_x0000_i1025" DrawAspect="Content" ObjectID="_1468075725" r:id="rId26">
            <o:LockedField>false</o:LockedField>
          </o:OLEObject>
        </w:object>
      </w:r>
    </w:p>
    <w:p w14:paraId="74EF3EC2">
      <w:pPr>
        <w:pStyle w:val="32"/>
        <w:spacing w:before="120" w:after="120"/>
      </w:pPr>
      <w:r>
        <w:rPr>
          <w:rFonts w:hint="eastAsia"/>
        </w:rPr>
        <w:t>检验检测机构数据分析应用总体架构</w:t>
      </w:r>
    </w:p>
    <w:p w14:paraId="19478BDE">
      <w:pPr>
        <w:pStyle w:val="27"/>
        <w:spacing w:before="240" w:after="240"/>
      </w:pPr>
      <w:bookmarkStart w:id="130" w:name="_Toc221974275"/>
      <w:bookmarkStart w:id="131" w:name="_Toc221975177"/>
      <w:bookmarkStart w:id="132" w:name="_Toc223727451"/>
      <w:bookmarkStart w:id="133" w:name="_Toc243324910"/>
      <w:bookmarkStart w:id="134" w:name="_Toc243324555"/>
      <w:bookmarkStart w:id="135" w:name="_Toc223642420"/>
      <w:bookmarkStart w:id="136" w:name="_Toc224229516"/>
      <w:bookmarkStart w:id="137" w:name="_Toc223012882"/>
      <w:bookmarkStart w:id="138" w:name="_Toc221971685"/>
      <w:bookmarkStart w:id="139" w:name="_Toc224565843"/>
      <w:bookmarkStart w:id="140" w:name="_Toc243324925"/>
      <w:r>
        <w:rPr>
          <w:rFonts w:hint="eastAsia"/>
        </w:rPr>
        <w:t>数据收集要求</w:t>
      </w:r>
      <w:bookmarkEnd w:id="130"/>
      <w:bookmarkEnd w:id="131"/>
      <w:bookmarkEnd w:id="132"/>
      <w:bookmarkEnd w:id="133"/>
      <w:bookmarkEnd w:id="134"/>
      <w:bookmarkEnd w:id="135"/>
      <w:bookmarkEnd w:id="136"/>
      <w:bookmarkEnd w:id="137"/>
      <w:bookmarkEnd w:id="138"/>
      <w:bookmarkEnd w:id="139"/>
      <w:bookmarkEnd w:id="140"/>
    </w:p>
    <w:p w14:paraId="31E4590E">
      <w:pPr>
        <w:pStyle w:val="29"/>
      </w:pPr>
      <w:bookmarkStart w:id="141" w:name="OLE_LINK18"/>
      <w:bookmarkStart w:id="142" w:name="OLE_LINK19"/>
      <w:bookmarkStart w:id="143" w:name="OLE_LINK38"/>
      <w:r>
        <w:rPr>
          <w:rFonts w:hint="eastAsia"/>
        </w:rPr>
        <w:t>检验检测机构数据收集范围包括但不限于</w:t>
      </w:r>
      <w:r>
        <w:t>检验检测机构</w:t>
      </w:r>
      <w:r>
        <w:rPr>
          <w:rFonts w:hint="eastAsia"/>
        </w:rPr>
        <w:t>基本信息</w:t>
      </w:r>
      <w:r>
        <w:t>、</w:t>
      </w:r>
      <w:r>
        <w:rPr>
          <w:rFonts w:hint="eastAsia"/>
        </w:rPr>
        <w:t>经营状况信息</w:t>
      </w:r>
      <w:r>
        <w:t>、</w:t>
      </w:r>
      <w:r>
        <w:rPr>
          <w:rFonts w:hint="eastAsia"/>
        </w:rPr>
        <w:t>监管信息</w:t>
      </w:r>
      <w:r>
        <w:t>、</w:t>
      </w:r>
      <w:r>
        <w:rPr>
          <w:rFonts w:hint="eastAsia"/>
        </w:rPr>
        <w:t>能力水平、技术管理、财务信息、社会公众信息、行业信息等，以及应用所需要的相关外部数据。</w:t>
      </w:r>
    </w:p>
    <w:p w14:paraId="318D2830">
      <w:pPr>
        <w:pStyle w:val="29"/>
      </w:pPr>
      <w:r>
        <w:rPr>
          <w:rFonts w:hint="eastAsia"/>
        </w:rPr>
        <w:t>应通过逻辑接入、物理汇聚等方式收集数据。</w:t>
      </w:r>
    </w:p>
    <w:p w14:paraId="6EE1B1F8">
      <w:pPr>
        <w:pStyle w:val="29"/>
        <w:rPr>
          <w:rFonts w:hint="eastAsia"/>
        </w:rPr>
      </w:pPr>
      <w:r>
        <w:rPr>
          <w:rFonts w:hint="eastAsia"/>
        </w:rPr>
        <w:t>应支持数据导入，实现以下功能：</w:t>
      </w:r>
    </w:p>
    <w:p w14:paraId="2C4DE7A7">
      <w:pPr>
        <w:pStyle w:val="31"/>
        <w:rPr>
          <w:rFonts w:hint="eastAsia"/>
        </w:rPr>
      </w:pPr>
      <w:r>
        <w:rPr>
          <w:rFonts w:hint="eastAsia"/>
        </w:rPr>
        <w:t>支持结构化数据、非结构化数据和半结构化数据导入；</w:t>
      </w:r>
    </w:p>
    <w:p w14:paraId="61861AA7">
      <w:pPr>
        <w:pStyle w:val="31"/>
      </w:pPr>
      <w:r>
        <w:rPr>
          <w:rFonts w:hint="eastAsia"/>
        </w:rPr>
        <w:t>支持离线数据、实时数据、全量数据、增量数据导入，以及自动定时导入数据功能。</w:t>
      </w:r>
    </w:p>
    <w:bookmarkEnd w:id="141"/>
    <w:bookmarkEnd w:id="142"/>
    <w:bookmarkEnd w:id="143"/>
    <w:p w14:paraId="70B96516">
      <w:pPr>
        <w:pStyle w:val="27"/>
        <w:spacing w:before="240" w:after="240"/>
      </w:pPr>
      <w:bookmarkStart w:id="144" w:name="_Toc243324911"/>
      <w:bookmarkStart w:id="145" w:name="_Toc221974276"/>
      <w:bookmarkStart w:id="146" w:name="_Toc221971686"/>
      <w:bookmarkStart w:id="147" w:name="_Toc221975178"/>
      <w:bookmarkStart w:id="148" w:name="_Toc223642421"/>
      <w:bookmarkStart w:id="149" w:name="_Toc224229517"/>
      <w:bookmarkStart w:id="150" w:name="_Toc243324556"/>
      <w:bookmarkStart w:id="151" w:name="_Toc224565844"/>
      <w:bookmarkStart w:id="152" w:name="_Toc223012883"/>
      <w:bookmarkStart w:id="153" w:name="_Toc243324926"/>
      <w:bookmarkStart w:id="154" w:name="_Toc223727452"/>
      <w:r>
        <w:rPr>
          <w:rFonts w:hint="eastAsia"/>
        </w:rPr>
        <w:t>数据存储要求</w:t>
      </w:r>
      <w:bookmarkEnd w:id="144"/>
      <w:bookmarkEnd w:id="145"/>
      <w:bookmarkEnd w:id="146"/>
      <w:bookmarkEnd w:id="147"/>
      <w:bookmarkEnd w:id="148"/>
      <w:bookmarkEnd w:id="149"/>
      <w:bookmarkEnd w:id="150"/>
      <w:bookmarkEnd w:id="151"/>
      <w:bookmarkEnd w:id="152"/>
      <w:bookmarkEnd w:id="153"/>
      <w:bookmarkEnd w:id="154"/>
    </w:p>
    <w:p w14:paraId="1367F6D4">
      <w:pPr>
        <w:pStyle w:val="29"/>
      </w:pPr>
      <w:bookmarkStart w:id="155" w:name="OLE_LINK40"/>
      <w:bookmarkStart w:id="156" w:name="OLE_LINK39"/>
      <w:bookmarkStart w:id="157" w:name="OLE_LINK25"/>
      <w:bookmarkStart w:id="158" w:name="OLE_LINK24"/>
      <w:r>
        <w:rPr>
          <w:rFonts w:hint="eastAsia"/>
        </w:rPr>
        <w:t>应提供数据存储功能，支持结构化数据、非结构化数据和半结构化数据存储。</w:t>
      </w:r>
    </w:p>
    <w:p w14:paraId="1674E3FB">
      <w:pPr>
        <w:pStyle w:val="29"/>
      </w:pPr>
      <w:r>
        <w:rPr>
          <w:rFonts w:hint="eastAsia"/>
        </w:rPr>
        <w:t>应提供与关系型数据库、其他文件系统之间交换数据或文件的功能。</w:t>
      </w:r>
    </w:p>
    <w:p w14:paraId="1D5ADA2B">
      <w:pPr>
        <w:pStyle w:val="29"/>
      </w:pPr>
      <w:r>
        <w:rPr>
          <w:rFonts w:hint="eastAsia"/>
        </w:rPr>
        <w:t>应支持文件系统基本操作，包括上传、下载、读写、复制、移动、删除、重命名、权限修改等。</w:t>
      </w:r>
    </w:p>
    <w:p w14:paraId="41707020">
      <w:pPr>
        <w:pStyle w:val="29"/>
      </w:pPr>
      <w:r>
        <w:rPr>
          <w:rFonts w:hint="eastAsia"/>
        </w:rPr>
        <w:t>应支持分布式文件存储，并</w:t>
      </w:r>
      <w:bookmarkStart w:id="159" w:name="OLE_LINK12"/>
      <w:bookmarkStart w:id="160" w:name="OLE_LINK5"/>
      <w:r>
        <w:rPr>
          <w:rFonts w:hint="eastAsia"/>
        </w:rPr>
        <w:t>提供数据块多副本存储、恢复功能</w:t>
      </w:r>
      <w:bookmarkEnd w:id="159"/>
      <w:bookmarkEnd w:id="160"/>
      <w:r>
        <w:rPr>
          <w:rFonts w:hint="eastAsia"/>
        </w:rPr>
        <w:t>。</w:t>
      </w:r>
      <w:bookmarkEnd w:id="155"/>
      <w:bookmarkEnd w:id="156"/>
    </w:p>
    <w:bookmarkEnd w:id="157"/>
    <w:bookmarkEnd w:id="158"/>
    <w:p w14:paraId="118A4090">
      <w:pPr>
        <w:pStyle w:val="27"/>
        <w:spacing w:before="240" w:after="240"/>
      </w:pPr>
      <w:bookmarkStart w:id="161" w:name="_Toc224229518"/>
      <w:bookmarkStart w:id="162" w:name="_Toc223727453"/>
      <w:bookmarkStart w:id="163" w:name="_Toc221974277"/>
      <w:bookmarkStart w:id="164" w:name="_Toc224565845"/>
      <w:bookmarkStart w:id="165" w:name="_Toc223012884"/>
      <w:bookmarkStart w:id="166" w:name="_Toc221971687"/>
      <w:bookmarkStart w:id="167" w:name="_Toc243324927"/>
      <w:bookmarkStart w:id="168" w:name="_Toc221975179"/>
      <w:bookmarkStart w:id="169" w:name="_Toc243324557"/>
      <w:bookmarkStart w:id="170" w:name="_Toc243324912"/>
      <w:bookmarkStart w:id="171" w:name="_Toc223642422"/>
      <w:r>
        <w:rPr>
          <w:rFonts w:hint="eastAsia"/>
        </w:rPr>
        <w:t>数据处理要求</w:t>
      </w:r>
      <w:bookmarkEnd w:id="161"/>
      <w:bookmarkEnd w:id="162"/>
      <w:bookmarkEnd w:id="163"/>
      <w:bookmarkEnd w:id="164"/>
      <w:bookmarkEnd w:id="165"/>
      <w:bookmarkEnd w:id="166"/>
      <w:bookmarkEnd w:id="167"/>
      <w:bookmarkEnd w:id="168"/>
      <w:bookmarkEnd w:id="169"/>
      <w:bookmarkEnd w:id="170"/>
      <w:bookmarkEnd w:id="171"/>
    </w:p>
    <w:p w14:paraId="7FDB8BFB">
      <w:pPr>
        <w:pStyle w:val="29"/>
      </w:pPr>
      <w:bookmarkStart w:id="172" w:name="OLE_LINK26"/>
      <w:bookmarkStart w:id="173" w:name="OLE_LINK41"/>
      <w:bookmarkStart w:id="174" w:name="OLE_LINK42"/>
      <w:r>
        <w:rPr>
          <w:rFonts w:hint="eastAsia"/>
        </w:rPr>
        <w:t>依据数据应用需求，明确数据处理规则，由市场监管数据平台开展数据治理工作，参照</w:t>
      </w:r>
      <w:bookmarkStart w:id="175" w:name="OLE_LINK1"/>
      <w:bookmarkStart w:id="176" w:name="OLE_LINK2"/>
      <w:r>
        <w:t>GB/T 34960.5</w:t>
      </w:r>
      <w:r>
        <w:rPr>
          <w:rFonts w:hint="eastAsia"/>
        </w:rPr>
        <w:t>—</w:t>
      </w:r>
      <w:r>
        <w:t>2018</w:t>
      </w:r>
      <w:bookmarkEnd w:id="175"/>
      <w:bookmarkEnd w:id="176"/>
      <w:r>
        <w:rPr>
          <w:rFonts w:hint="eastAsia"/>
        </w:rPr>
        <w:t>的相关内容执行。</w:t>
      </w:r>
    </w:p>
    <w:p w14:paraId="24961AD0">
      <w:pPr>
        <w:pStyle w:val="29"/>
      </w:pPr>
      <w:r>
        <w:rPr>
          <w:rFonts w:hint="eastAsia"/>
        </w:rPr>
        <w:t>应建立并按照统一的清洗比对规则，对已收集数据的规范性、完整性、准确性、一致性、时效性、可访问性等进行校验，包括但不限于缺失、违规、重复、冲突等数据的清洗与修正，使检验检测机构数据满足应用需求。</w:t>
      </w:r>
    </w:p>
    <w:p w14:paraId="2D8F7681">
      <w:pPr>
        <w:pStyle w:val="29"/>
      </w:pPr>
      <w:r>
        <w:rPr>
          <w:rFonts w:hint="eastAsia"/>
        </w:rPr>
        <w:t>应建立检验检测机构数据质量管控体系，加强数据质量监督检查和问题数据反馈，实现问题数据可追溯，确保合规、正确使用数据</w:t>
      </w:r>
      <w:bookmarkEnd w:id="172"/>
      <w:r>
        <w:rPr>
          <w:rFonts w:hint="eastAsia"/>
        </w:rPr>
        <w:t>。</w:t>
      </w:r>
    </w:p>
    <w:p w14:paraId="73C1FDA4">
      <w:pPr>
        <w:pStyle w:val="27"/>
        <w:spacing w:before="240" w:after="240"/>
      </w:pPr>
      <w:bookmarkStart w:id="177" w:name="_Toc243324913"/>
      <w:bookmarkStart w:id="178" w:name="_Toc243324558"/>
      <w:bookmarkStart w:id="179" w:name="_Toc224565846"/>
      <w:bookmarkStart w:id="180" w:name="_Toc243324928"/>
      <w:r>
        <w:rPr>
          <w:rFonts w:hint="eastAsia"/>
        </w:rPr>
        <w:t>画像数据要求</w:t>
      </w:r>
      <w:bookmarkEnd w:id="177"/>
      <w:bookmarkEnd w:id="178"/>
      <w:bookmarkEnd w:id="179"/>
      <w:bookmarkEnd w:id="180"/>
    </w:p>
    <w:p w14:paraId="742C610E">
      <w:pPr>
        <w:pStyle w:val="29"/>
        <w:numPr>
          <w:ilvl w:val="0"/>
          <w:numId w:val="0"/>
        </w:numPr>
        <w:ind w:firstLine="420" w:firstLineChars="200"/>
      </w:pPr>
      <w:r>
        <w:rPr>
          <w:rFonts w:hint="eastAsia"/>
        </w:rPr>
        <w:t>画像数据要求见同系列标准《检验检测机构画像数据规范》。</w:t>
      </w:r>
    </w:p>
    <w:bookmarkEnd w:id="173"/>
    <w:bookmarkEnd w:id="174"/>
    <w:p w14:paraId="65944640">
      <w:pPr>
        <w:pStyle w:val="27"/>
        <w:spacing w:before="240" w:after="240"/>
      </w:pPr>
      <w:bookmarkStart w:id="181" w:name="_Toc243324914"/>
      <w:bookmarkStart w:id="182" w:name="_Toc243324559"/>
      <w:bookmarkStart w:id="183" w:name="_Toc223642423"/>
      <w:bookmarkStart w:id="184" w:name="_Toc223012885"/>
      <w:bookmarkStart w:id="185" w:name="_Toc243324929"/>
      <w:bookmarkStart w:id="186" w:name="_Toc224229519"/>
      <w:bookmarkStart w:id="187" w:name="_Toc224565847"/>
      <w:bookmarkStart w:id="188" w:name="_Toc221971688"/>
      <w:bookmarkStart w:id="189" w:name="_Toc221974278"/>
      <w:bookmarkStart w:id="190" w:name="_Toc223727454"/>
      <w:bookmarkStart w:id="191" w:name="_Toc221975180"/>
      <w:r>
        <w:rPr>
          <w:rFonts w:hint="eastAsia"/>
        </w:rPr>
        <w:t>数据分析要求</w:t>
      </w:r>
      <w:bookmarkEnd w:id="181"/>
      <w:bookmarkEnd w:id="182"/>
      <w:bookmarkEnd w:id="183"/>
      <w:bookmarkEnd w:id="184"/>
      <w:bookmarkEnd w:id="185"/>
      <w:bookmarkEnd w:id="186"/>
      <w:bookmarkEnd w:id="187"/>
      <w:bookmarkEnd w:id="188"/>
      <w:bookmarkEnd w:id="189"/>
      <w:bookmarkEnd w:id="190"/>
      <w:bookmarkEnd w:id="191"/>
    </w:p>
    <w:p w14:paraId="0458024F">
      <w:pPr>
        <w:pStyle w:val="29"/>
      </w:pPr>
      <w:bookmarkStart w:id="192" w:name="OLE_LINK28"/>
      <w:bookmarkStart w:id="193" w:name="OLE_LINK27"/>
      <w:bookmarkStart w:id="194" w:name="OLE_LINK43"/>
      <w:r>
        <w:rPr>
          <w:rFonts w:hint="eastAsia"/>
        </w:rPr>
        <w:t>应支持数据查询，实现以下功能：</w:t>
      </w:r>
    </w:p>
    <w:p w14:paraId="3F5D4A3F">
      <w:pPr>
        <w:pStyle w:val="31"/>
      </w:pPr>
      <w:r>
        <w:rPr>
          <w:rFonts w:hint="eastAsia"/>
        </w:rPr>
        <w:t>提供通过标准的数据库连接接口进行查询的功能；</w:t>
      </w:r>
    </w:p>
    <w:p w14:paraId="78F6198A">
      <w:pPr>
        <w:pStyle w:val="31"/>
      </w:pPr>
      <w:r>
        <w:rPr>
          <w:rFonts w:hint="eastAsia"/>
        </w:rPr>
        <w:t>提供</w:t>
      </w:r>
      <w:bookmarkStart w:id="195" w:name="OLE_LINK53"/>
      <w:bookmarkStart w:id="196" w:name="OLE_LINK52"/>
      <w:r>
        <w:rPr>
          <w:rFonts w:hint="eastAsia"/>
        </w:rPr>
        <w:t>通过</w:t>
      </w:r>
      <w:r>
        <w:rPr>
          <w:rFonts w:ascii="Times New Roman"/>
        </w:rPr>
        <w:t>REST API</w:t>
      </w:r>
      <w:r>
        <w:rPr>
          <w:rFonts w:hint="eastAsia"/>
        </w:rPr>
        <w:t>查询接口</w:t>
      </w:r>
      <w:bookmarkEnd w:id="195"/>
      <w:bookmarkEnd w:id="196"/>
      <w:r>
        <w:rPr>
          <w:rFonts w:hint="eastAsia"/>
        </w:rPr>
        <w:t>进行查询的功能；</w:t>
      </w:r>
    </w:p>
    <w:p w14:paraId="143ECE5A">
      <w:pPr>
        <w:pStyle w:val="31"/>
      </w:pPr>
      <w:r>
        <w:rPr>
          <w:rFonts w:hint="eastAsia"/>
        </w:rPr>
        <w:t>提供建立数据索引的功能，达到查询加速的效果；</w:t>
      </w:r>
    </w:p>
    <w:p w14:paraId="487F190E">
      <w:pPr>
        <w:pStyle w:val="31"/>
      </w:pPr>
      <w:r>
        <w:rPr>
          <w:rFonts w:hint="eastAsia"/>
        </w:rPr>
        <w:t>支持精确查询和模糊查询功能。</w:t>
      </w:r>
    </w:p>
    <w:p w14:paraId="4EF0F711">
      <w:pPr>
        <w:pStyle w:val="29"/>
      </w:pPr>
      <w:r>
        <w:rPr>
          <w:rFonts w:hint="eastAsia"/>
        </w:rPr>
        <w:t>应支持机器学习，实现以下功能：</w:t>
      </w:r>
    </w:p>
    <w:p w14:paraId="0D431DDF">
      <w:pPr>
        <w:pStyle w:val="31"/>
      </w:pPr>
      <w:r>
        <w:rPr>
          <w:rFonts w:hint="eastAsia"/>
        </w:rPr>
        <w:t>提供数据集管理功能，可将数据划分为训练集、验证集和测试集；</w:t>
      </w:r>
    </w:p>
    <w:p w14:paraId="62DDAD8E">
      <w:pPr>
        <w:pStyle w:val="31"/>
      </w:pPr>
      <w:r>
        <w:rPr>
          <w:rFonts w:hint="eastAsia"/>
        </w:rPr>
        <w:t>提供机器学习模型导入和导出功能；</w:t>
      </w:r>
    </w:p>
    <w:p w14:paraId="6D580D9B">
      <w:pPr>
        <w:pStyle w:val="31"/>
      </w:pPr>
      <w:r>
        <w:rPr>
          <w:rFonts w:hint="eastAsia"/>
        </w:rPr>
        <w:t>提供常用机器学习算法。</w:t>
      </w:r>
    </w:p>
    <w:p w14:paraId="660ED829">
      <w:pPr>
        <w:pStyle w:val="29"/>
      </w:pPr>
      <w:r>
        <w:rPr>
          <w:rFonts w:hint="eastAsia"/>
        </w:rPr>
        <w:t>应支持统计分析，实现以下功能：</w:t>
      </w:r>
    </w:p>
    <w:p w14:paraId="6287899D">
      <w:pPr>
        <w:pStyle w:val="31"/>
      </w:pPr>
      <w:r>
        <w:rPr>
          <w:rFonts w:hint="eastAsia"/>
        </w:rPr>
        <w:t>提供基本数值统计，如最大值、最小值、求和等统计量；</w:t>
      </w:r>
    </w:p>
    <w:p w14:paraId="04B73B62">
      <w:pPr>
        <w:pStyle w:val="31"/>
      </w:pPr>
      <w:r>
        <w:rPr>
          <w:rFonts w:hint="eastAsia"/>
        </w:rPr>
        <w:t>提供数据集中趋势统计，如平均数、中位数、</w:t>
      </w:r>
      <w:bookmarkStart w:id="197" w:name="OLE_LINK4"/>
      <w:bookmarkStart w:id="198" w:name="OLE_LINK3"/>
      <w:r>
        <w:rPr>
          <w:rFonts w:hint="eastAsia"/>
        </w:rPr>
        <w:t>众数</w:t>
      </w:r>
      <w:bookmarkEnd w:id="197"/>
      <w:bookmarkEnd w:id="198"/>
      <w:r>
        <w:rPr>
          <w:rFonts w:hint="eastAsia"/>
        </w:rPr>
        <w:t>等统计量。</w:t>
      </w:r>
    </w:p>
    <w:p w14:paraId="046DCEEF">
      <w:pPr>
        <w:pStyle w:val="29"/>
      </w:pPr>
      <w:r>
        <w:rPr>
          <w:rFonts w:hint="eastAsia"/>
        </w:rPr>
        <w:t>应支持离线数据分析，实现以下功能：</w:t>
      </w:r>
    </w:p>
    <w:p w14:paraId="03A86060">
      <w:pPr>
        <w:pStyle w:val="31"/>
      </w:pPr>
      <w:r>
        <w:rPr>
          <w:rFonts w:hint="eastAsia"/>
        </w:rPr>
        <w:t>支持结构化查询语言；</w:t>
      </w:r>
    </w:p>
    <w:p w14:paraId="6D85E32B">
      <w:pPr>
        <w:pStyle w:val="31"/>
      </w:pPr>
      <w:r>
        <w:rPr>
          <w:rFonts w:hint="eastAsia"/>
        </w:rPr>
        <w:t>支持分布式计算或并行计算等计算框架；</w:t>
      </w:r>
    </w:p>
    <w:p w14:paraId="4468CD7A">
      <w:pPr>
        <w:pStyle w:val="31"/>
      </w:pPr>
      <w:r>
        <w:rPr>
          <w:rFonts w:hint="eastAsia"/>
        </w:rPr>
        <w:t>支持对海量工作任务的切分和分布式调度。</w:t>
      </w:r>
    </w:p>
    <w:p w14:paraId="039F87AF">
      <w:pPr>
        <w:pStyle w:val="29"/>
      </w:pPr>
      <w:r>
        <w:rPr>
          <w:rFonts w:hint="eastAsia"/>
        </w:rPr>
        <w:t>应支持流数据分析，实现以下功能：</w:t>
      </w:r>
    </w:p>
    <w:p w14:paraId="1A24E732">
      <w:pPr>
        <w:pStyle w:val="31"/>
      </w:pPr>
      <w:r>
        <w:rPr>
          <w:rFonts w:hint="eastAsia"/>
        </w:rPr>
        <w:t>提供按时间切片进行批量处理的功能；</w:t>
      </w:r>
    </w:p>
    <w:p w14:paraId="14C6197F">
      <w:pPr>
        <w:pStyle w:val="31"/>
      </w:pPr>
      <w:r>
        <w:rPr>
          <w:rFonts w:hint="eastAsia"/>
        </w:rPr>
        <w:t>支持基于事件触发或者采样的流式处理；</w:t>
      </w:r>
    </w:p>
    <w:p w14:paraId="0ECCD6AF">
      <w:pPr>
        <w:pStyle w:val="31"/>
      </w:pPr>
      <w:r>
        <w:rPr>
          <w:rFonts w:hint="eastAsia"/>
        </w:rPr>
        <w:t>支持</w:t>
      </w:r>
      <w:bookmarkStart w:id="199" w:name="OLE_LINK54"/>
      <w:bookmarkStart w:id="200" w:name="OLE_LINK55"/>
      <w:r>
        <w:rPr>
          <w:rFonts w:hint="eastAsia"/>
        </w:rPr>
        <w:t>实时流式的数据统计</w:t>
      </w:r>
      <w:bookmarkEnd w:id="199"/>
      <w:bookmarkEnd w:id="200"/>
      <w:r>
        <w:rPr>
          <w:rFonts w:hint="eastAsia"/>
        </w:rPr>
        <w:t>；</w:t>
      </w:r>
    </w:p>
    <w:p w14:paraId="6354BE3B">
      <w:pPr>
        <w:pStyle w:val="31"/>
      </w:pPr>
      <w:r>
        <w:rPr>
          <w:rFonts w:hint="eastAsia"/>
        </w:rPr>
        <w:t>支持流式数据的排序；</w:t>
      </w:r>
    </w:p>
    <w:p w14:paraId="4512C249">
      <w:pPr>
        <w:pStyle w:val="31"/>
      </w:pPr>
      <w:r>
        <w:rPr>
          <w:rFonts w:hint="eastAsia"/>
        </w:rPr>
        <w:t>支持与静态表之间的关联；</w:t>
      </w:r>
    </w:p>
    <w:p w14:paraId="7BB45716">
      <w:pPr>
        <w:pStyle w:val="31"/>
      </w:pPr>
      <w:r>
        <w:rPr>
          <w:rFonts w:hint="eastAsia"/>
        </w:rPr>
        <w:t>支持多个数据流的关联处理。</w:t>
      </w:r>
    </w:p>
    <w:p w14:paraId="507DEEC3">
      <w:pPr>
        <w:pStyle w:val="29"/>
      </w:pPr>
      <w:r>
        <w:rPr>
          <w:rFonts w:hint="eastAsia"/>
        </w:rPr>
        <w:t>宜支持交互式联机分析，实现以下功能：</w:t>
      </w:r>
    </w:p>
    <w:p w14:paraId="0A3D8DC7">
      <w:pPr>
        <w:pStyle w:val="31"/>
      </w:pPr>
      <w:r>
        <w:rPr>
          <w:rFonts w:hint="eastAsia"/>
        </w:rPr>
        <w:t>通过结构化查询语言对数据进行分布式的联机分析，如</w:t>
      </w:r>
      <w:r>
        <w:rPr>
          <w:rFonts w:ascii="Times New Roman"/>
        </w:rPr>
        <w:t>OLAP</w:t>
      </w:r>
      <w:r>
        <w:rPr>
          <w:rFonts w:hint="eastAsia"/>
        </w:rPr>
        <w:t>等；</w:t>
      </w:r>
    </w:p>
    <w:p w14:paraId="7674C416">
      <w:pPr>
        <w:pStyle w:val="31"/>
      </w:pPr>
      <w:r>
        <w:rPr>
          <w:rFonts w:hint="eastAsia"/>
        </w:rPr>
        <w:t>通过结构化查询语言对数据进行即席查询；</w:t>
      </w:r>
    </w:p>
    <w:p w14:paraId="7893740E">
      <w:pPr>
        <w:pStyle w:val="31"/>
      </w:pPr>
      <w:r>
        <w:rPr>
          <w:rFonts w:hint="eastAsia"/>
        </w:rPr>
        <w:t>利用可视化中间件对数据分析结果进行显示；</w:t>
      </w:r>
    </w:p>
    <w:p w14:paraId="4BD824DC">
      <w:pPr>
        <w:pStyle w:val="31"/>
      </w:pPr>
      <w:r>
        <w:rPr>
          <w:rFonts w:hint="eastAsia"/>
        </w:rPr>
        <w:t>在交互式分析过程中定义计算公式和参数配置；</w:t>
      </w:r>
    </w:p>
    <w:p w14:paraId="3E0AFBCA">
      <w:pPr>
        <w:pStyle w:val="31"/>
      </w:pPr>
      <w:r>
        <w:rPr>
          <w:rFonts w:hint="eastAsia"/>
        </w:rPr>
        <w:t>在交互式分析过程中自动保存和回退；</w:t>
      </w:r>
    </w:p>
    <w:p w14:paraId="466A557D">
      <w:pPr>
        <w:pStyle w:val="31"/>
      </w:pPr>
      <w:r>
        <w:rPr>
          <w:rFonts w:hint="eastAsia"/>
        </w:rPr>
        <w:t>在交互式分析过程中对分析结果的保存和发布；</w:t>
      </w:r>
    </w:p>
    <w:p w14:paraId="785E85D5">
      <w:pPr>
        <w:pStyle w:val="31"/>
      </w:pPr>
      <w:r>
        <w:rPr>
          <w:rFonts w:hint="eastAsia"/>
        </w:rPr>
        <w:t>基于在线联机分析的交互式数据分析</w:t>
      </w:r>
      <w:bookmarkEnd w:id="192"/>
      <w:bookmarkEnd w:id="193"/>
      <w:r>
        <w:rPr>
          <w:rFonts w:hint="eastAsia"/>
        </w:rPr>
        <w:t>。</w:t>
      </w:r>
    </w:p>
    <w:bookmarkEnd w:id="194"/>
    <w:p w14:paraId="5D412C05">
      <w:pPr>
        <w:pStyle w:val="27"/>
        <w:spacing w:before="240" w:after="240"/>
      </w:pPr>
      <w:bookmarkStart w:id="201" w:name="_Toc243324560"/>
      <w:bookmarkStart w:id="202" w:name="_Toc223012886"/>
      <w:bookmarkStart w:id="203" w:name="_Toc224229520"/>
      <w:bookmarkStart w:id="204" w:name="_Toc224565848"/>
      <w:bookmarkStart w:id="205" w:name="_Toc243324915"/>
      <w:bookmarkStart w:id="206" w:name="_Toc223642424"/>
      <w:bookmarkStart w:id="207" w:name="_Toc221974279"/>
      <w:bookmarkStart w:id="208" w:name="_Toc223727455"/>
      <w:bookmarkStart w:id="209" w:name="_Toc221975181"/>
      <w:bookmarkStart w:id="210" w:name="_Toc243324930"/>
      <w:bookmarkStart w:id="211" w:name="_Toc221971689"/>
      <w:r>
        <w:rPr>
          <w:rFonts w:hint="eastAsia"/>
        </w:rPr>
        <w:t>数据可视化</w:t>
      </w:r>
      <w:bookmarkEnd w:id="201"/>
      <w:bookmarkEnd w:id="202"/>
      <w:bookmarkEnd w:id="203"/>
      <w:bookmarkEnd w:id="204"/>
      <w:bookmarkEnd w:id="205"/>
      <w:bookmarkEnd w:id="206"/>
      <w:bookmarkEnd w:id="207"/>
      <w:bookmarkEnd w:id="208"/>
      <w:bookmarkEnd w:id="209"/>
      <w:bookmarkEnd w:id="210"/>
      <w:bookmarkEnd w:id="211"/>
    </w:p>
    <w:p w14:paraId="2842AE89">
      <w:pPr>
        <w:pStyle w:val="29"/>
      </w:pPr>
      <w:bookmarkStart w:id="212" w:name="OLE_LINK44"/>
      <w:bookmarkStart w:id="213" w:name="OLE_LINK45"/>
      <w:r>
        <w:rPr>
          <w:rFonts w:hint="eastAsia"/>
        </w:rPr>
        <w:t>应支持常见的数据源数据格式作为输入，如Excel、关系型数据库、JSON、XML等。</w:t>
      </w:r>
    </w:p>
    <w:p w14:paraId="212E74C5">
      <w:pPr>
        <w:pStyle w:val="29"/>
      </w:pPr>
      <w:r>
        <w:rPr>
          <w:rFonts w:hint="eastAsia"/>
        </w:rPr>
        <w:t>应支持对高维数据的可视化展示。</w:t>
      </w:r>
    </w:p>
    <w:p w14:paraId="0E42697C">
      <w:pPr>
        <w:pStyle w:val="29"/>
      </w:pPr>
      <w:r>
        <w:rPr>
          <w:rFonts w:hint="eastAsia"/>
        </w:rPr>
        <w:t>应支持可视化分析工具库，包括但不限于以下可视化形式：</w:t>
      </w:r>
    </w:p>
    <w:p w14:paraId="24D56B34">
      <w:pPr>
        <w:pStyle w:val="31"/>
      </w:pPr>
      <w:r>
        <w:rPr>
          <w:rFonts w:hint="eastAsia"/>
        </w:rPr>
        <w:t>支持柱状图；</w:t>
      </w:r>
    </w:p>
    <w:p w14:paraId="2A7E635D">
      <w:pPr>
        <w:pStyle w:val="31"/>
      </w:pPr>
      <w:r>
        <w:rPr>
          <w:rFonts w:hint="eastAsia"/>
        </w:rPr>
        <w:t>支持饼图；</w:t>
      </w:r>
    </w:p>
    <w:p w14:paraId="4DB6A679">
      <w:pPr>
        <w:pStyle w:val="31"/>
      </w:pPr>
      <w:r>
        <w:rPr>
          <w:rFonts w:hint="eastAsia"/>
        </w:rPr>
        <w:t>支持折线图；</w:t>
      </w:r>
    </w:p>
    <w:p w14:paraId="731D58EE">
      <w:pPr>
        <w:pStyle w:val="31"/>
      </w:pPr>
      <w:r>
        <w:rPr>
          <w:rFonts w:hint="eastAsia"/>
        </w:rPr>
        <w:t>支持表格；</w:t>
      </w:r>
    </w:p>
    <w:p w14:paraId="47E98EA8">
      <w:pPr>
        <w:pStyle w:val="31"/>
      </w:pPr>
      <w:r>
        <w:rPr>
          <w:rFonts w:hint="eastAsia"/>
        </w:rPr>
        <w:t>支持散点图；</w:t>
      </w:r>
    </w:p>
    <w:p w14:paraId="6612A7F5">
      <w:pPr>
        <w:pStyle w:val="31"/>
      </w:pPr>
      <w:r>
        <w:rPr>
          <w:rFonts w:hint="eastAsia"/>
        </w:rPr>
        <w:t>支持雷达图；</w:t>
      </w:r>
    </w:p>
    <w:p w14:paraId="74C2558A">
      <w:pPr>
        <w:pStyle w:val="31"/>
      </w:pPr>
      <w:r>
        <w:rPr>
          <w:rFonts w:hint="eastAsia"/>
        </w:rPr>
        <w:t>支持网络图；</w:t>
      </w:r>
    </w:p>
    <w:p w14:paraId="5E5892C8">
      <w:pPr>
        <w:pStyle w:val="31"/>
      </w:pPr>
      <w:r>
        <w:rPr>
          <w:rFonts w:hint="eastAsia"/>
        </w:rPr>
        <w:t>支持时间线；</w:t>
      </w:r>
    </w:p>
    <w:p w14:paraId="0703E20B">
      <w:pPr>
        <w:pStyle w:val="31"/>
      </w:pPr>
      <w:r>
        <w:rPr>
          <w:rFonts w:hint="eastAsia"/>
        </w:rPr>
        <w:t>支持热力图；</w:t>
      </w:r>
    </w:p>
    <w:p w14:paraId="3B037C3D">
      <w:pPr>
        <w:pStyle w:val="31"/>
      </w:pPr>
      <w:r>
        <w:rPr>
          <w:rFonts w:hint="eastAsia"/>
        </w:rPr>
        <w:t>支持地图。</w:t>
      </w:r>
    </w:p>
    <w:p w14:paraId="0FC20B80">
      <w:pPr>
        <w:pStyle w:val="29"/>
      </w:pPr>
      <w:r>
        <w:rPr>
          <w:rFonts w:hint="eastAsia"/>
        </w:rPr>
        <w:t>宜支持算法模型的评估相关的可视化工具。</w:t>
      </w:r>
    </w:p>
    <w:p w14:paraId="223FF116">
      <w:pPr>
        <w:pStyle w:val="29"/>
      </w:pPr>
      <w:r>
        <w:rPr>
          <w:rFonts w:hint="eastAsia"/>
        </w:rPr>
        <w:t>宜支持第三方数据可视化工具的</w:t>
      </w:r>
      <w:r>
        <w:rPr>
          <w:rFonts w:ascii="Times New Roman"/>
        </w:rPr>
        <w:t>API</w:t>
      </w:r>
      <w:r>
        <w:rPr>
          <w:rFonts w:hint="eastAsia"/>
        </w:rPr>
        <w:t>。</w:t>
      </w:r>
    </w:p>
    <w:bookmarkEnd w:id="212"/>
    <w:bookmarkEnd w:id="213"/>
    <w:p w14:paraId="0A10ACB1">
      <w:pPr>
        <w:pStyle w:val="27"/>
        <w:spacing w:before="240" w:after="240"/>
      </w:pPr>
      <w:bookmarkStart w:id="214" w:name="_Toc243324561"/>
      <w:bookmarkStart w:id="215" w:name="_Toc223727456"/>
      <w:bookmarkStart w:id="216" w:name="_Toc221974280"/>
      <w:bookmarkStart w:id="217" w:name="_Toc221971690"/>
      <w:bookmarkStart w:id="218" w:name="_Toc224565849"/>
      <w:bookmarkStart w:id="219" w:name="_Toc243324931"/>
      <w:bookmarkStart w:id="220" w:name="_Toc223642425"/>
      <w:bookmarkStart w:id="221" w:name="_Toc223012887"/>
      <w:bookmarkStart w:id="222" w:name="_Toc224229521"/>
      <w:bookmarkStart w:id="223" w:name="_Toc221975182"/>
      <w:bookmarkStart w:id="224" w:name="_Toc243324916"/>
      <w:r>
        <w:rPr>
          <w:rFonts w:hint="eastAsia"/>
        </w:rPr>
        <w:t>数据应用</w:t>
      </w:r>
      <w:bookmarkEnd w:id="214"/>
      <w:bookmarkEnd w:id="215"/>
      <w:bookmarkEnd w:id="216"/>
      <w:bookmarkEnd w:id="217"/>
      <w:bookmarkEnd w:id="218"/>
      <w:bookmarkEnd w:id="219"/>
      <w:bookmarkEnd w:id="220"/>
      <w:bookmarkEnd w:id="221"/>
      <w:bookmarkEnd w:id="222"/>
      <w:bookmarkEnd w:id="223"/>
      <w:bookmarkEnd w:id="224"/>
    </w:p>
    <w:p w14:paraId="3CBDB1A8">
      <w:pPr>
        <w:pStyle w:val="29"/>
      </w:pPr>
      <w:bookmarkStart w:id="225" w:name="OLE_LINK29"/>
      <w:bookmarkStart w:id="226" w:name="OLE_LINK46"/>
      <w:r>
        <w:rPr>
          <w:rFonts w:hint="eastAsia"/>
        </w:rPr>
        <w:t>检验检测机构的数据应用分为合规判定场景、风险监测场景、诚信评估场景、数智化评估场景、报告溯源验证场景。具体的检验检测机构数据应用指标见附录A。</w:t>
      </w:r>
    </w:p>
    <w:p w14:paraId="54554C14">
      <w:pPr>
        <w:pStyle w:val="29"/>
      </w:pPr>
      <w:r>
        <w:rPr>
          <w:rFonts w:hint="eastAsia"/>
        </w:rPr>
        <w:t>检验检测机构可根据数据应用指标自行比对、评估和完善，也可由监管部门开展评估工作。</w:t>
      </w:r>
    </w:p>
    <w:p w14:paraId="67547122">
      <w:pPr>
        <w:pStyle w:val="29"/>
      </w:pPr>
      <w:r>
        <w:t>检验检测机构在合规判定场景的数据应用，应围绕资质与业务匹配性、标准执行合规性、人员与设备合规性、检测流程与报告合规性、备案与公示合规性等核心维度，对全流程数据进行统一归集、自动比对、逐项核验与闭环判定，确保数据真实完整、全程可追溯，支撑监管与内审精准识别不合规行为，保障检验检测活动合法、规范、可信</w:t>
      </w:r>
      <w:r>
        <w:rPr>
          <w:rFonts w:hint="eastAsia"/>
        </w:rPr>
        <w:t>。</w:t>
      </w:r>
    </w:p>
    <w:p w14:paraId="2D850556">
      <w:pPr>
        <w:pStyle w:val="29"/>
      </w:pPr>
      <w:r>
        <w:t>检验检测机构在风险</w:t>
      </w:r>
      <w:r>
        <w:rPr>
          <w:rFonts w:hint="eastAsia"/>
        </w:rPr>
        <w:t>监测</w:t>
      </w:r>
      <w:r>
        <w:t>场景的数据应用，应围绕</w:t>
      </w:r>
      <w:bookmarkStart w:id="227" w:name="OLE_LINK48"/>
      <w:bookmarkStart w:id="228" w:name="OLE_LINK47"/>
      <w:r>
        <w:rPr>
          <w:rFonts w:hint="eastAsia"/>
        </w:rPr>
        <w:t>基本信息</w:t>
      </w:r>
      <w:r>
        <w:t>、</w:t>
      </w:r>
      <w:r>
        <w:rPr>
          <w:rFonts w:hint="eastAsia"/>
        </w:rPr>
        <w:t>经营状况信息</w:t>
      </w:r>
      <w:r>
        <w:t>、</w:t>
      </w:r>
      <w:r>
        <w:rPr>
          <w:rFonts w:hint="eastAsia"/>
        </w:rPr>
        <w:t>监管信息</w:t>
      </w:r>
      <w:r>
        <w:t>、</w:t>
      </w:r>
      <w:r>
        <w:rPr>
          <w:rFonts w:hint="eastAsia"/>
        </w:rPr>
        <w:t>能力水平、技术管理创新</w:t>
      </w:r>
      <w:bookmarkEnd w:id="227"/>
      <w:bookmarkEnd w:id="228"/>
      <w:r>
        <w:t>维度，开展多源数据汇聚、实时监测、智能识别、关联分析与分级</w:t>
      </w:r>
      <w:r>
        <w:rPr>
          <w:rFonts w:hint="eastAsia"/>
        </w:rPr>
        <w:t>监测</w:t>
      </w:r>
      <w:r>
        <w:t>，及时发现质量失控、数据异常、违规操作及系统性、苗头性风险，实现风险早发现、早</w:t>
      </w:r>
      <w:r>
        <w:rPr>
          <w:rFonts w:hint="eastAsia"/>
        </w:rPr>
        <w:t>监测</w:t>
      </w:r>
      <w:r>
        <w:t>、早处置</w:t>
      </w:r>
      <w:r>
        <w:rPr>
          <w:rFonts w:hint="eastAsia"/>
        </w:rPr>
        <w:t>。</w:t>
      </w:r>
    </w:p>
    <w:p w14:paraId="632A81DE">
      <w:pPr>
        <w:pStyle w:val="29"/>
      </w:pPr>
      <w:r>
        <w:t>检验检测机构在诚信评估场景的数据应用，</w:t>
      </w:r>
      <w:r>
        <w:rPr>
          <w:rFonts w:hint="eastAsia"/>
        </w:rPr>
        <w:t>应基于基本信息、财务信息、社会公众信息、行业信息</w:t>
      </w:r>
      <w:r>
        <w:t>等多维度数据进行归集、核验、比对与综合评价，客观反映机构资质合规、运营状况、社会信用与行业履约情况，形成可量化、可追溯、可公开的诚信评价结果，为行业准入、分类监管、信用奖惩和社会采信提供真实、准确、统一的数据支撑</w:t>
      </w:r>
      <w:r>
        <w:rPr>
          <w:rFonts w:hint="eastAsia"/>
        </w:rPr>
        <w:t>。</w:t>
      </w:r>
    </w:p>
    <w:p w14:paraId="70C50261">
      <w:pPr>
        <w:pStyle w:val="29"/>
      </w:pPr>
      <w:r>
        <w:t>检验检测机构在数智化评估场景的数据应用，应围绕基础设施与互联互通能力、数据治理与标准化水平、业务流程智能化应用、决策支持与运营效能、网络安全与合规韧性等维度，全面汇聚设备、系统、业务、管理、安全等全要素数据，通过统一标准、互联互通、智能分析与应用，提升</w:t>
      </w:r>
      <w:r>
        <w:rPr>
          <w:rFonts w:hint="eastAsia"/>
        </w:rPr>
        <w:t>机构</w:t>
      </w:r>
      <w:r>
        <w:t>数据治理水平、自动化运行效率与科学决策能力</w:t>
      </w:r>
      <w:r>
        <w:rPr>
          <w:rFonts w:hint="eastAsia"/>
        </w:rPr>
        <w:t>，</w:t>
      </w:r>
      <w:r>
        <w:t>支撑机构数字化转型</w:t>
      </w:r>
      <w:r>
        <w:rPr>
          <w:rFonts w:hint="eastAsia"/>
        </w:rPr>
        <w:t>。</w:t>
      </w:r>
    </w:p>
    <w:p w14:paraId="50F9302F">
      <w:pPr>
        <w:pStyle w:val="29"/>
      </w:pPr>
      <w:r>
        <w:t>检验检测机构在报告溯源验证场景的数据应用，应围绕身份与真实性验证、数据完整性与防篡改、过程全链路还原、验证效率与响应等核心维度，依托统一溯源标识、可信存证、全流程留痕及实时核验机制，实现报告主体、检测数据、原始记录、操作过程的可信核验与完整还原，确保溯源可查、验证可信、篡改可识、高效响应，为监管核查、社会采信和质量追溯提供权威可靠的数据支撑</w:t>
      </w:r>
      <w:r>
        <w:rPr>
          <w:rFonts w:hint="eastAsia"/>
        </w:rPr>
        <w:t>。</w:t>
      </w:r>
    </w:p>
    <w:bookmarkEnd w:id="225"/>
    <w:bookmarkEnd w:id="226"/>
    <w:p w14:paraId="02BA591D">
      <w:pPr>
        <w:pStyle w:val="27"/>
        <w:spacing w:before="240" w:after="240"/>
      </w:pPr>
      <w:bookmarkStart w:id="229" w:name="_Toc243324932"/>
      <w:bookmarkStart w:id="230" w:name="_Toc221975188"/>
      <w:bookmarkStart w:id="231" w:name="_Toc243324917"/>
      <w:bookmarkStart w:id="232" w:name="_Toc221971696"/>
      <w:bookmarkStart w:id="233" w:name="_Toc221974286"/>
      <w:bookmarkStart w:id="234" w:name="_Toc243324562"/>
      <w:bookmarkStart w:id="235" w:name="_Toc224565850"/>
      <w:bookmarkStart w:id="236" w:name="_Toc223727457"/>
      <w:bookmarkStart w:id="237" w:name="_Toc224229522"/>
      <w:bookmarkStart w:id="238" w:name="_Toc223012893"/>
      <w:bookmarkStart w:id="239" w:name="_Toc223642431"/>
      <w:r>
        <w:rPr>
          <w:rFonts w:hint="eastAsia"/>
        </w:rPr>
        <w:t>数据安全</w:t>
      </w:r>
      <w:bookmarkEnd w:id="229"/>
      <w:bookmarkEnd w:id="230"/>
      <w:bookmarkEnd w:id="231"/>
      <w:bookmarkEnd w:id="232"/>
      <w:bookmarkEnd w:id="233"/>
      <w:bookmarkEnd w:id="234"/>
      <w:bookmarkEnd w:id="235"/>
      <w:bookmarkEnd w:id="236"/>
      <w:bookmarkEnd w:id="237"/>
      <w:bookmarkEnd w:id="238"/>
      <w:bookmarkEnd w:id="239"/>
    </w:p>
    <w:p w14:paraId="41F95F70">
      <w:pPr>
        <w:pStyle w:val="29"/>
        <w:rPr>
          <w:rFonts w:hAnsi="宋体" w:cs="NEU-BZ-S92-Regular"/>
        </w:rPr>
      </w:pPr>
      <w:bookmarkStart w:id="240" w:name="OLE_LINK30"/>
      <w:bookmarkStart w:id="241" w:name="OLE_LINK31"/>
      <w:r>
        <w:rPr>
          <w:rFonts w:hint="eastAsia"/>
        </w:rPr>
        <w:t>应建立数据安全管理机制，健全数据安全管理制度，落实数据安全保护责任</w:t>
      </w:r>
      <w:r>
        <w:rPr>
          <w:rFonts w:hint="eastAsia" w:ascii="NEU-BZ-S92-Regular" w:eastAsia="NEU-BZ-S92-Regular" w:cs="NEU-BZ-S92-Regular"/>
        </w:rPr>
        <w:t>。</w:t>
      </w:r>
      <w:r>
        <w:rPr>
          <w:rFonts w:hint="eastAsia"/>
        </w:rPr>
        <w:t>明确数据安全需求，开展</w:t>
      </w:r>
      <w:r>
        <w:rPr>
          <w:rFonts w:hint="eastAsia" w:hAnsi="宋体"/>
        </w:rPr>
        <w:t>数据分类分级管理，对数据全生命周期采取相关安全措施，评估数据安全风险并采取应对措施，数据安全管理按照</w:t>
      </w:r>
      <w:r>
        <w:rPr>
          <w:rFonts w:hAnsi="宋体"/>
        </w:rPr>
        <w:t>GB/T 37973</w:t>
      </w:r>
      <w:r>
        <w:rPr>
          <w:rFonts w:hint="eastAsia" w:hAnsi="宋体"/>
        </w:rPr>
        <w:t>规定的相关要求执行</w:t>
      </w:r>
      <w:r>
        <w:rPr>
          <w:rFonts w:hint="eastAsia" w:hAnsi="宋体" w:cs="NEU-BZ-S92-Regular"/>
        </w:rPr>
        <w:t>。</w:t>
      </w:r>
    </w:p>
    <w:p w14:paraId="16CF247C">
      <w:pPr>
        <w:pStyle w:val="29"/>
        <w:rPr>
          <w:rFonts w:hAnsi="宋体" w:cs="NEU-BZ-S92-Regular"/>
        </w:rPr>
      </w:pPr>
      <w:r>
        <w:rPr>
          <w:rFonts w:hint="eastAsia" w:hAnsi="宋体"/>
        </w:rPr>
        <w:t>加强商业秘密</w:t>
      </w:r>
      <w:r>
        <w:rPr>
          <w:rFonts w:hint="eastAsia" w:hAnsi="宋体" w:cs="NEU-BZ-S92-Regular"/>
        </w:rPr>
        <w:t>、</w:t>
      </w:r>
      <w:r>
        <w:rPr>
          <w:rFonts w:hint="eastAsia" w:hAnsi="宋体"/>
        </w:rPr>
        <w:t>个人信息等数据的保护，在数据采集</w:t>
      </w:r>
      <w:r>
        <w:rPr>
          <w:rFonts w:hint="eastAsia" w:hAnsi="宋体" w:cs="NEU-BZ-S92-Regular"/>
        </w:rPr>
        <w:t>、</w:t>
      </w:r>
      <w:r>
        <w:rPr>
          <w:rFonts w:hint="eastAsia" w:hAnsi="宋体"/>
        </w:rPr>
        <w:t>存储</w:t>
      </w:r>
      <w:r>
        <w:rPr>
          <w:rFonts w:hint="eastAsia" w:hAnsi="宋体" w:cs="NEU-BZ-S92-Regular"/>
        </w:rPr>
        <w:t>、</w:t>
      </w:r>
      <w:r>
        <w:rPr>
          <w:rFonts w:hint="eastAsia" w:hAnsi="宋体"/>
        </w:rPr>
        <w:t>使用等过程中采取安全措施，并对数据的委托处理</w:t>
      </w:r>
      <w:r>
        <w:rPr>
          <w:rFonts w:hint="eastAsia" w:hAnsi="宋体" w:cs="NEU-BZ-S92-Regular"/>
        </w:rPr>
        <w:t>、</w:t>
      </w:r>
      <w:r>
        <w:rPr>
          <w:rFonts w:hint="eastAsia" w:hAnsi="宋体"/>
        </w:rPr>
        <w:t>共享</w:t>
      </w:r>
      <w:r>
        <w:rPr>
          <w:rFonts w:hint="eastAsia" w:hAnsi="宋体" w:cs="NEU-BZ-S92-Regular"/>
        </w:rPr>
        <w:t>、</w:t>
      </w:r>
      <w:r>
        <w:rPr>
          <w:rFonts w:hint="eastAsia" w:hAnsi="宋体"/>
        </w:rPr>
        <w:t>转让和公开披露等进行安全管理，个人信息安全按照</w:t>
      </w:r>
      <w:r>
        <w:rPr>
          <w:rFonts w:hAnsi="宋体" w:cs="NEU-BZ-S92-Regular"/>
        </w:rPr>
        <w:t>GB/T 35273</w:t>
      </w:r>
      <w:r>
        <w:rPr>
          <w:rFonts w:hint="eastAsia" w:hAnsi="宋体"/>
        </w:rPr>
        <w:t>规定的相关要求执行</w:t>
      </w:r>
      <w:r>
        <w:rPr>
          <w:rFonts w:hint="eastAsia" w:hAnsi="宋体" w:cs="NEU-BZ-S92-Regular"/>
        </w:rPr>
        <w:t>。</w:t>
      </w:r>
    </w:p>
    <w:p w14:paraId="23B75688">
      <w:pPr>
        <w:pStyle w:val="29"/>
        <w:rPr>
          <w:rFonts w:hAnsi="宋体" w:cs="FZ-SZ"/>
          <w:sz w:val="20"/>
        </w:rPr>
        <w:sectPr>
          <w:headerReference r:id="rId17" w:type="default"/>
          <w:footerReference r:id="rId19" w:type="default"/>
          <w:headerReference r:id="rId18" w:type="even"/>
          <w:footerReference r:id="rId20" w:type="even"/>
          <w:pgSz w:w="11906" w:h="16838"/>
          <w:pgMar w:top="1928" w:right="1134" w:bottom="1134" w:left="1134" w:header="1418" w:footer="1134" w:gutter="284"/>
          <w:cols w:space="425" w:num="1"/>
          <w:formProt w:val="0"/>
          <w:docGrid w:linePitch="312" w:charSpace="0"/>
        </w:sectPr>
      </w:pPr>
      <w:r>
        <w:rPr>
          <w:rFonts w:ascii="Helvetica" w:hAnsi="Helvetica"/>
          <w:szCs w:val="21"/>
        </w:rPr>
        <w:t>网络安全等级保护</w:t>
      </w:r>
      <w:r>
        <w:rPr>
          <w:rFonts w:hint="eastAsia" w:hAnsi="宋体"/>
        </w:rPr>
        <w:t>按照</w:t>
      </w:r>
      <w:r>
        <w:rPr>
          <w:rFonts w:hAnsi="宋体" w:cs="NEU-BZ-S92-Regular"/>
        </w:rPr>
        <w:t>GB/T 22239</w:t>
      </w:r>
      <w:r>
        <w:rPr>
          <w:rFonts w:hint="eastAsia" w:hAnsi="宋体"/>
        </w:rPr>
        <w:t>规定的相关要求执行</w:t>
      </w:r>
      <w:r>
        <w:rPr>
          <w:rFonts w:hint="eastAsia" w:hAnsi="宋体" w:cs="NEU-BZ-S92-Regular"/>
        </w:rPr>
        <w:t>。</w:t>
      </w:r>
    </w:p>
    <w:bookmarkEnd w:id="37"/>
    <w:p w14:paraId="4B7F5CB2">
      <w:pPr>
        <w:pStyle w:val="33"/>
        <w:rPr>
          <w:vanish w:val="0"/>
        </w:rPr>
      </w:pPr>
      <w:bookmarkStart w:id="242" w:name="BookMark5"/>
    </w:p>
    <w:p w14:paraId="701408D4">
      <w:pPr>
        <w:pStyle w:val="34"/>
        <w:rPr>
          <w:vanish w:val="0"/>
        </w:rPr>
      </w:pPr>
    </w:p>
    <w:p w14:paraId="4BA3A9FF">
      <w:pPr>
        <w:pStyle w:val="35"/>
        <w:spacing w:after="120"/>
      </w:pPr>
      <w:r>
        <w:br w:type="textWrapping"/>
      </w:r>
      <w:bookmarkStart w:id="243" w:name="_Toc224565851"/>
      <w:bookmarkStart w:id="244" w:name="_Toc243324918"/>
      <w:bookmarkStart w:id="245" w:name="_Toc224229523"/>
      <w:bookmarkStart w:id="246" w:name="_Toc243324563"/>
      <w:bookmarkStart w:id="247" w:name="_Toc223727458"/>
      <w:bookmarkStart w:id="248" w:name="_Toc243324933"/>
      <w:r>
        <w:rPr>
          <w:rFonts w:hint="eastAsia"/>
        </w:rPr>
        <w:t>（资料性）</w:t>
      </w:r>
      <w:r>
        <w:br w:type="textWrapping"/>
      </w:r>
      <w:r>
        <w:rPr>
          <w:rFonts w:hint="eastAsia"/>
        </w:rPr>
        <w:t>检验检测机构数据应用指标</w:t>
      </w:r>
      <w:bookmarkEnd w:id="243"/>
      <w:bookmarkEnd w:id="244"/>
      <w:bookmarkEnd w:id="245"/>
      <w:bookmarkEnd w:id="246"/>
      <w:bookmarkEnd w:id="247"/>
      <w:bookmarkEnd w:id="248"/>
    </w:p>
    <w:p w14:paraId="60BD7493">
      <w:pPr>
        <w:autoSpaceDE w:val="0"/>
        <w:autoSpaceDN w:val="0"/>
        <w:spacing w:line="240" w:lineRule="auto"/>
        <w:ind w:firstLine="420" w:firstLineChars="200"/>
        <w:jc w:val="left"/>
        <w:rPr>
          <w:rFonts w:ascii="FZSSK--GBK1-0" w:eastAsia="FZSSK--GBK1-0" w:cs="FZSSK--GBK1-0"/>
          <w:kern w:val="0"/>
          <w:sz w:val="20"/>
          <w:szCs w:val="20"/>
        </w:rPr>
      </w:pPr>
      <w:r>
        <w:rPr>
          <w:rFonts w:hint="eastAsia"/>
        </w:rPr>
        <w:t>检验检测机构数据应用指标见表</w:t>
      </w:r>
      <w:r>
        <w:t>A.1</w:t>
      </w:r>
      <w:r>
        <w:rPr>
          <w:rFonts w:hint="eastAsia"/>
        </w:rPr>
        <w:t>。</w:t>
      </w:r>
    </w:p>
    <w:p w14:paraId="5F2E1C8B">
      <w:pPr>
        <w:pStyle w:val="36"/>
        <w:spacing w:before="120" w:after="120"/>
      </w:pPr>
      <w:r>
        <w:rPr>
          <w:rFonts w:hint="eastAsia"/>
        </w:rPr>
        <w:t>检验检测机构数据应用指标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3686"/>
        <w:gridCol w:w="3933"/>
      </w:tblGrid>
      <w:tr w14:paraId="7D282C12">
        <w:tc>
          <w:tcPr>
            <w:tcW w:w="1951" w:type="dxa"/>
            <w:vAlign w:val="center"/>
          </w:tcPr>
          <w:p w14:paraId="0709E4FB">
            <w:pPr>
              <w:pStyle w:val="13"/>
              <w:ind w:firstLine="0" w:firstLineChars="0"/>
              <w:jc w:val="center"/>
              <w:rPr>
                <w:rFonts w:hAnsi="宋体"/>
                <w:b/>
                <w:szCs w:val="21"/>
              </w:rPr>
            </w:pPr>
            <w:r>
              <w:rPr>
                <w:rFonts w:hint="eastAsia" w:hAnsi="宋体"/>
                <w:b/>
                <w:szCs w:val="21"/>
              </w:rPr>
              <w:t>编号</w:t>
            </w:r>
          </w:p>
        </w:tc>
        <w:tc>
          <w:tcPr>
            <w:tcW w:w="3686" w:type="dxa"/>
            <w:vAlign w:val="center"/>
          </w:tcPr>
          <w:p w14:paraId="21A2148D">
            <w:pPr>
              <w:pStyle w:val="13"/>
              <w:ind w:firstLine="0" w:firstLineChars="0"/>
              <w:jc w:val="center"/>
              <w:rPr>
                <w:rFonts w:hAnsi="宋体"/>
                <w:b/>
                <w:szCs w:val="21"/>
              </w:rPr>
            </w:pPr>
            <w:r>
              <w:rPr>
                <w:rFonts w:hint="eastAsia" w:hAnsi="宋体"/>
                <w:b/>
                <w:szCs w:val="21"/>
              </w:rPr>
              <w:t>场景</w:t>
            </w:r>
          </w:p>
        </w:tc>
        <w:tc>
          <w:tcPr>
            <w:tcW w:w="3933" w:type="dxa"/>
            <w:vAlign w:val="center"/>
          </w:tcPr>
          <w:p w14:paraId="61FB34DF">
            <w:pPr>
              <w:pStyle w:val="13"/>
              <w:ind w:firstLine="0" w:firstLineChars="0"/>
              <w:jc w:val="center"/>
              <w:rPr>
                <w:rFonts w:hAnsi="宋体"/>
                <w:b/>
                <w:szCs w:val="21"/>
              </w:rPr>
            </w:pPr>
            <w:r>
              <w:rPr>
                <w:rFonts w:hint="eastAsia" w:hAnsi="宋体"/>
                <w:b/>
                <w:szCs w:val="21"/>
              </w:rPr>
              <w:t>一级指标</w:t>
            </w:r>
          </w:p>
        </w:tc>
      </w:tr>
      <w:tr w14:paraId="7A17F56E">
        <w:tc>
          <w:tcPr>
            <w:tcW w:w="1951" w:type="dxa"/>
            <w:vAlign w:val="center"/>
          </w:tcPr>
          <w:p w14:paraId="092F9F4F">
            <w:pPr>
              <w:pStyle w:val="13"/>
              <w:ind w:firstLine="0" w:firstLineChars="0"/>
              <w:rPr>
                <w:rFonts w:hAnsi="宋体"/>
                <w:szCs w:val="21"/>
              </w:rPr>
            </w:pPr>
            <w:bookmarkStart w:id="249" w:name="OLE_LINK15"/>
            <w:r>
              <w:rPr>
                <w:rFonts w:hint="eastAsia" w:hAnsi="宋体"/>
                <w:szCs w:val="21"/>
              </w:rPr>
              <w:t>A01</w:t>
            </w:r>
            <w:bookmarkEnd w:id="249"/>
          </w:p>
        </w:tc>
        <w:tc>
          <w:tcPr>
            <w:tcW w:w="3686" w:type="dxa"/>
            <w:vMerge w:val="restart"/>
            <w:vAlign w:val="center"/>
          </w:tcPr>
          <w:p w14:paraId="02FF5B6A">
            <w:pPr>
              <w:pStyle w:val="13"/>
              <w:ind w:firstLine="0" w:firstLineChars="0"/>
              <w:rPr>
                <w:rFonts w:hAnsi="宋体"/>
                <w:szCs w:val="21"/>
              </w:rPr>
            </w:pPr>
            <w:r>
              <w:rPr>
                <w:rFonts w:hint="eastAsia" w:hAnsi="宋体"/>
                <w:szCs w:val="21"/>
              </w:rPr>
              <w:t>合规判定</w:t>
            </w:r>
          </w:p>
        </w:tc>
        <w:tc>
          <w:tcPr>
            <w:tcW w:w="3933" w:type="dxa"/>
            <w:vAlign w:val="center"/>
          </w:tcPr>
          <w:p w14:paraId="1962B073">
            <w:pPr>
              <w:pStyle w:val="13"/>
              <w:ind w:firstLine="0" w:firstLineChars="0"/>
              <w:rPr>
                <w:rFonts w:hAnsi="宋体"/>
                <w:szCs w:val="21"/>
              </w:rPr>
            </w:pPr>
            <w:r>
              <w:rPr>
                <w:rFonts w:hAnsi="宋体"/>
                <w:szCs w:val="21"/>
              </w:rPr>
              <w:t>资质与业务匹配性</w:t>
            </w:r>
          </w:p>
        </w:tc>
      </w:tr>
      <w:tr w14:paraId="16085721">
        <w:tc>
          <w:tcPr>
            <w:tcW w:w="1951" w:type="dxa"/>
            <w:vAlign w:val="center"/>
          </w:tcPr>
          <w:p w14:paraId="042F8303">
            <w:pPr>
              <w:pStyle w:val="13"/>
              <w:ind w:firstLine="0" w:firstLineChars="0"/>
              <w:rPr>
                <w:rFonts w:hAnsi="宋体"/>
                <w:szCs w:val="21"/>
              </w:rPr>
            </w:pPr>
            <w:r>
              <w:rPr>
                <w:rFonts w:hint="eastAsia" w:hAnsi="宋体"/>
                <w:szCs w:val="21"/>
              </w:rPr>
              <w:t>A02</w:t>
            </w:r>
          </w:p>
        </w:tc>
        <w:tc>
          <w:tcPr>
            <w:tcW w:w="3686" w:type="dxa"/>
            <w:vMerge w:val="continue"/>
            <w:vAlign w:val="center"/>
          </w:tcPr>
          <w:p w14:paraId="2DC1BBEB">
            <w:pPr>
              <w:pStyle w:val="13"/>
              <w:ind w:firstLine="0" w:firstLineChars="0"/>
              <w:rPr>
                <w:rFonts w:hAnsi="宋体"/>
                <w:szCs w:val="21"/>
              </w:rPr>
            </w:pPr>
          </w:p>
        </w:tc>
        <w:tc>
          <w:tcPr>
            <w:tcW w:w="3933" w:type="dxa"/>
            <w:vAlign w:val="center"/>
          </w:tcPr>
          <w:p w14:paraId="7C52F830">
            <w:pPr>
              <w:pStyle w:val="13"/>
              <w:ind w:firstLine="0" w:firstLineChars="0"/>
              <w:rPr>
                <w:rFonts w:hAnsi="宋体"/>
                <w:szCs w:val="21"/>
              </w:rPr>
            </w:pPr>
            <w:r>
              <w:rPr>
                <w:rFonts w:hAnsi="宋体"/>
                <w:szCs w:val="21"/>
              </w:rPr>
              <w:t>标准执行合规性</w:t>
            </w:r>
          </w:p>
        </w:tc>
      </w:tr>
      <w:tr w14:paraId="059D284A">
        <w:tc>
          <w:tcPr>
            <w:tcW w:w="1951" w:type="dxa"/>
            <w:vAlign w:val="center"/>
          </w:tcPr>
          <w:p w14:paraId="5903530C">
            <w:pPr>
              <w:pStyle w:val="13"/>
              <w:ind w:firstLine="0" w:firstLineChars="0"/>
              <w:rPr>
                <w:rFonts w:hAnsi="宋体"/>
                <w:szCs w:val="21"/>
              </w:rPr>
            </w:pPr>
            <w:r>
              <w:rPr>
                <w:rFonts w:hint="eastAsia" w:hAnsi="宋体"/>
                <w:szCs w:val="21"/>
              </w:rPr>
              <w:t>A03</w:t>
            </w:r>
          </w:p>
        </w:tc>
        <w:tc>
          <w:tcPr>
            <w:tcW w:w="3686" w:type="dxa"/>
            <w:vMerge w:val="continue"/>
            <w:vAlign w:val="center"/>
          </w:tcPr>
          <w:p w14:paraId="6F95C6D4">
            <w:pPr>
              <w:pStyle w:val="13"/>
              <w:ind w:firstLine="0" w:firstLineChars="0"/>
              <w:rPr>
                <w:rFonts w:hAnsi="宋体"/>
                <w:szCs w:val="21"/>
              </w:rPr>
            </w:pPr>
          </w:p>
        </w:tc>
        <w:tc>
          <w:tcPr>
            <w:tcW w:w="3933" w:type="dxa"/>
            <w:vAlign w:val="center"/>
          </w:tcPr>
          <w:p w14:paraId="5FF99A31">
            <w:pPr>
              <w:pStyle w:val="13"/>
              <w:ind w:firstLine="0" w:firstLineChars="0"/>
              <w:rPr>
                <w:rFonts w:hAnsi="宋体"/>
                <w:szCs w:val="21"/>
              </w:rPr>
            </w:pPr>
            <w:r>
              <w:rPr>
                <w:rFonts w:hAnsi="宋体"/>
                <w:szCs w:val="21"/>
              </w:rPr>
              <w:t>人员与设备合规性</w:t>
            </w:r>
          </w:p>
        </w:tc>
      </w:tr>
      <w:tr w14:paraId="306C6C57">
        <w:tc>
          <w:tcPr>
            <w:tcW w:w="1951" w:type="dxa"/>
            <w:vAlign w:val="center"/>
          </w:tcPr>
          <w:p w14:paraId="791F543B">
            <w:pPr>
              <w:pStyle w:val="13"/>
              <w:ind w:firstLine="0" w:firstLineChars="0"/>
              <w:rPr>
                <w:rFonts w:hAnsi="宋体"/>
                <w:szCs w:val="21"/>
              </w:rPr>
            </w:pPr>
            <w:r>
              <w:rPr>
                <w:rFonts w:hint="eastAsia" w:hAnsi="宋体"/>
                <w:szCs w:val="21"/>
              </w:rPr>
              <w:t>A04</w:t>
            </w:r>
          </w:p>
        </w:tc>
        <w:tc>
          <w:tcPr>
            <w:tcW w:w="3686" w:type="dxa"/>
            <w:vMerge w:val="continue"/>
            <w:vAlign w:val="center"/>
          </w:tcPr>
          <w:p w14:paraId="41EF41DC">
            <w:pPr>
              <w:pStyle w:val="13"/>
              <w:ind w:firstLine="0" w:firstLineChars="0"/>
              <w:rPr>
                <w:rFonts w:hAnsi="宋体"/>
                <w:szCs w:val="21"/>
              </w:rPr>
            </w:pPr>
          </w:p>
        </w:tc>
        <w:tc>
          <w:tcPr>
            <w:tcW w:w="3933" w:type="dxa"/>
            <w:vAlign w:val="center"/>
          </w:tcPr>
          <w:p w14:paraId="12BE7A74">
            <w:pPr>
              <w:pStyle w:val="13"/>
              <w:ind w:firstLine="0" w:firstLineChars="0"/>
              <w:rPr>
                <w:rFonts w:hAnsi="宋体"/>
                <w:szCs w:val="21"/>
              </w:rPr>
            </w:pPr>
            <w:r>
              <w:rPr>
                <w:rFonts w:hAnsi="宋体"/>
                <w:szCs w:val="21"/>
              </w:rPr>
              <w:t>检测流程与报告合规性</w:t>
            </w:r>
          </w:p>
        </w:tc>
      </w:tr>
      <w:tr w14:paraId="7ADA7902">
        <w:tc>
          <w:tcPr>
            <w:tcW w:w="1951" w:type="dxa"/>
            <w:vAlign w:val="center"/>
          </w:tcPr>
          <w:p w14:paraId="4A8501EC">
            <w:pPr>
              <w:pStyle w:val="13"/>
              <w:ind w:firstLine="0" w:firstLineChars="0"/>
              <w:rPr>
                <w:rFonts w:hAnsi="宋体"/>
                <w:szCs w:val="21"/>
              </w:rPr>
            </w:pPr>
            <w:r>
              <w:rPr>
                <w:rFonts w:hint="eastAsia" w:hAnsi="宋体"/>
                <w:szCs w:val="21"/>
              </w:rPr>
              <w:t>A05</w:t>
            </w:r>
          </w:p>
        </w:tc>
        <w:tc>
          <w:tcPr>
            <w:tcW w:w="3686" w:type="dxa"/>
            <w:vMerge w:val="continue"/>
            <w:vAlign w:val="center"/>
          </w:tcPr>
          <w:p w14:paraId="6BA79D0A">
            <w:pPr>
              <w:pStyle w:val="13"/>
              <w:ind w:firstLine="0" w:firstLineChars="0"/>
              <w:rPr>
                <w:rFonts w:hAnsi="宋体"/>
                <w:szCs w:val="21"/>
              </w:rPr>
            </w:pPr>
          </w:p>
        </w:tc>
        <w:tc>
          <w:tcPr>
            <w:tcW w:w="3933" w:type="dxa"/>
            <w:vAlign w:val="center"/>
          </w:tcPr>
          <w:p w14:paraId="18406E77">
            <w:pPr>
              <w:pStyle w:val="13"/>
              <w:ind w:firstLine="0" w:firstLineChars="0"/>
              <w:rPr>
                <w:rFonts w:hAnsi="宋体"/>
                <w:szCs w:val="21"/>
              </w:rPr>
            </w:pPr>
            <w:r>
              <w:rPr>
                <w:rFonts w:hAnsi="宋体"/>
                <w:szCs w:val="21"/>
              </w:rPr>
              <w:t>备案与公示合规性</w:t>
            </w:r>
          </w:p>
        </w:tc>
      </w:tr>
      <w:tr w14:paraId="639D775A">
        <w:tc>
          <w:tcPr>
            <w:tcW w:w="1951" w:type="dxa"/>
            <w:vAlign w:val="center"/>
          </w:tcPr>
          <w:p w14:paraId="2A614142">
            <w:pPr>
              <w:pStyle w:val="13"/>
              <w:ind w:firstLine="0" w:firstLineChars="0"/>
              <w:rPr>
                <w:rFonts w:hAnsi="宋体"/>
                <w:szCs w:val="21"/>
              </w:rPr>
            </w:pPr>
            <w:r>
              <w:rPr>
                <w:rFonts w:hint="eastAsia" w:hAnsi="宋体"/>
                <w:szCs w:val="21"/>
              </w:rPr>
              <w:t>A06</w:t>
            </w:r>
          </w:p>
        </w:tc>
        <w:tc>
          <w:tcPr>
            <w:tcW w:w="3686" w:type="dxa"/>
            <w:vMerge w:val="restart"/>
            <w:vAlign w:val="center"/>
          </w:tcPr>
          <w:p w14:paraId="70113A72">
            <w:pPr>
              <w:pStyle w:val="13"/>
              <w:ind w:firstLine="0" w:firstLineChars="0"/>
              <w:rPr>
                <w:rFonts w:hAnsi="宋体"/>
                <w:szCs w:val="21"/>
              </w:rPr>
            </w:pPr>
            <w:r>
              <w:rPr>
                <w:rFonts w:hint="eastAsia" w:hAnsi="宋体"/>
                <w:szCs w:val="21"/>
              </w:rPr>
              <w:t>风险监测（参考《获总局资质认定的检验检测机构信用风险分类管理规范》）</w:t>
            </w:r>
          </w:p>
        </w:tc>
        <w:tc>
          <w:tcPr>
            <w:tcW w:w="3933" w:type="dxa"/>
            <w:vAlign w:val="center"/>
          </w:tcPr>
          <w:p w14:paraId="5FFC0D77">
            <w:pPr>
              <w:pStyle w:val="13"/>
              <w:ind w:firstLine="0" w:firstLineChars="0"/>
              <w:rPr>
                <w:rFonts w:hAnsi="宋体"/>
                <w:szCs w:val="21"/>
              </w:rPr>
            </w:pPr>
            <w:r>
              <w:rPr>
                <w:rFonts w:hint="eastAsia"/>
              </w:rPr>
              <w:t>基本信息</w:t>
            </w:r>
          </w:p>
        </w:tc>
      </w:tr>
      <w:tr w14:paraId="4C2122AB">
        <w:tc>
          <w:tcPr>
            <w:tcW w:w="1951" w:type="dxa"/>
            <w:vAlign w:val="center"/>
          </w:tcPr>
          <w:p w14:paraId="2AF8B1D4">
            <w:pPr>
              <w:pStyle w:val="13"/>
              <w:ind w:firstLine="0" w:firstLineChars="0"/>
              <w:rPr>
                <w:rFonts w:hAnsi="宋体"/>
                <w:szCs w:val="21"/>
              </w:rPr>
            </w:pPr>
            <w:r>
              <w:rPr>
                <w:rFonts w:hint="eastAsia" w:hAnsi="宋体"/>
                <w:szCs w:val="21"/>
              </w:rPr>
              <w:t>A07</w:t>
            </w:r>
          </w:p>
        </w:tc>
        <w:tc>
          <w:tcPr>
            <w:tcW w:w="3686" w:type="dxa"/>
            <w:vMerge w:val="continue"/>
            <w:vAlign w:val="center"/>
          </w:tcPr>
          <w:p w14:paraId="21CAEEB4">
            <w:pPr>
              <w:pStyle w:val="13"/>
              <w:ind w:firstLine="0" w:firstLineChars="0"/>
              <w:rPr>
                <w:rFonts w:hAnsi="宋体"/>
                <w:szCs w:val="21"/>
              </w:rPr>
            </w:pPr>
          </w:p>
        </w:tc>
        <w:tc>
          <w:tcPr>
            <w:tcW w:w="3933" w:type="dxa"/>
            <w:vAlign w:val="center"/>
          </w:tcPr>
          <w:p w14:paraId="01343D52">
            <w:pPr>
              <w:pStyle w:val="13"/>
              <w:ind w:firstLine="0" w:firstLineChars="0"/>
              <w:rPr>
                <w:rFonts w:hAnsi="宋体"/>
                <w:szCs w:val="21"/>
              </w:rPr>
            </w:pPr>
            <w:r>
              <w:rPr>
                <w:rFonts w:hint="eastAsia"/>
              </w:rPr>
              <w:t>经营状况信息</w:t>
            </w:r>
          </w:p>
        </w:tc>
      </w:tr>
      <w:tr w14:paraId="1236CFC7">
        <w:tc>
          <w:tcPr>
            <w:tcW w:w="1951" w:type="dxa"/>
            <w:vAlign w:val="center"/>
          </w:tcPr>
          <w:p w14:paraId="2E3BD696">
            <w:pPr>
              <w:pStyle w:val="13"/>
              <w:ind w:firstLine="0" w:firstLineChars="0"/>
              <w:rPr>
                <w:rFonts w:hAnsi="宋体"/>
                <w:szCs w:val="21"/>
              </w:rPr>
            </w:pPr>
            <w:r>
              <w:rPr>
                <w:rFonts w:hint="eastAsia" w:hAnsi="宋体"/>
                <w:szCs w:val="21"/>
              </w:rPr>
              <w:t>A08</w:t>
            </w:r>
          </w:p>
        </w:tc>
        <w:tc>
          <w:tcPr>
            <w:tcW w:w="3686" w:type="dxa"/>
            <w:vMerge w:val="continue"/>
            <w:vAlign w:val="center"/>
          </w:tcPr>
          <w:p w14:paraId="48A3FCFA">
            <w:pPr>
              <w:pStyle w:val="13"/>
              <w:ind w:firstLine="0" w:firstLineChars="0"/>
              <w:rPr>
                <w:rFonts w:hAnsi="宋体"/>
                <w:szCs w:val="21"/>
              </w:rPr>
            </w:pPr>
          </w:p>
        </w:tc>
        <w:tc>
          <w:tcPr>
            <w:tcW w:w="3933" w:type="dxa"/>
            <w:vAlign w:val="center"/>
          </w:tcPr>
          <w:p w14:paraId="562CDD68">
            <w:pPr>
              <w:pStyle w:val="13"/>
              <w:ind w:firstLine="0" w:firstLineChars="0"/>
              <w:rPr>
                <w:rFonts w:hAnsi="宋体"/>
                <w:szCs w:val="21"/>
              </w:rPr>
            </w:pPr>
            <w:r>
              <w:rPr>
                <w:rFonts w:hint="eastAsia"/>
              </w:rPr>
              <w:t>监管信息</w:t>
            </w:r>
          </w:p>
        </w:tc>
      </w:tr>
      <w:tr w14:paraId="4ECCF69A">
        <w:tc>
          <w:tcPr>
            <w:tcW w:w="1951" w:type="dxa"/>
            <w:vAlign w:val="center"/>
          </w:tcPr>
          <w:p w14:paraId="5BCDB578">
            <w:pPr>
              <w:pStyle w:val="13"/>
              <w:ind w:firstLine="0" w:firstLineChars="0"/>
              <w:rPr>
                <w:rFonts w:hAnsi="宋体"/>
                <w:szCs w:val="21"/>
              </w:rPr>
            </w:pPr>
            <w:r>
              <w:rPr>
                <w:rFonts w:hint="eastAsia" w:hAnsi="宋体"/>
                <w:szCs w:val="21"/>
              </w:rPr>
              <w:t>A09</w:t>
            </w:r>
          </w:p>
        </w:tc>
        <w:tc>
          <w:tcPr>
            <w:tcW w:w="3686" w:type="dxa"/>
            <w:vMerge w:val="continue"/>
            <w:vAlign w:val="center"/>
          </w:tcPr>
          <w:p w14:paraId="7DB7B4ED">
            <w:pPr>
              <w:pStyle w:val="13"/>
              <w:ind w:firstLine="0" w:firstLineChars="0"/>
              <w:rPr>
                <w:rFonts w:hAnsi="宋体"/>
                <w:szCs w:val="21"/>
              </w:rPr>
            </w:pPr>
          </w:p>
        </w:tc>
        <w:tc>
          <w:tcPr>
            <w:tcW w:w="3933" w:type="dxa"/>
            <w:vAlign w:val="center"/>
          </w:tcPr>
          <w:p w14:paraId="0BA4DD5D">
            <w:pPr>
              <w:pStyle w:val="13"/>
              <w:ind w:firstLine="0" w:firstLineChars="0"/>
            </w:pPr>
            <w:r>
              <w:rPr>
                <w:rFonts w:hint="eastAsia"/>
              </w:rPr>
              <w:t>能力水平</w:t>
            </w:r>
          </w:p>
        </w:tc>
      </w:tr>
      <w:tr w14:paraId="6D443F51">
        <w:tc>
          <w:tcPr>
            <w:tcW w:w="1951" w:type="dxa"/>
            <w:vAlign w:val="center"/>
          </w:tcPr>
          <w:p w14:paraId="281D462B">
            <w:pPr>
              <w:pStyle w:val="13"/>
              <w:ind w:firstLine="0" w:firstLineChars="0"/>
              <w:rPr>
                <w:rFonts w:hAnsi="宋体"/>
                <w:szCs w:val="21"/>
              </w:rPr>
            </w:pPr>
            <w:r>
              <w:rPr>
                <w:rFonts w:hint="eastAsia" w:hAnsi="宋体"/>
                <w:szCs w:val="21"/>
              </w:rPr>
              <w:t>A10</w:t>
            </w:r>
          </w:p>
        </w:tc>
        <w:tc>
          <w:tcPr>
            <w:tcW w:w="3686" w:type="dxa"/>
            <w:vMerge w:val="continue"/>
            <w:vAlign w:val="center"/>
          </w:tcPr>
          <w:p w14:paraId="06199965">
            <w:pPr>
              <w:pStyle w:val="13"/>
              <w:ind w:firstLine="0" w:firstLineChars="0"/>
              <w:rPr>
                <w:rFonts w:hAnsi="宋体"/>
                <w:szCs w:val="21"/>
              </w:rPr>
            </w:pPr>
          </w:p>
        </w:tc>
        <w:tc>
          <w:tcPr>
            <w:tcW w:w="3933" w:type="dxa"/>
            <w:vAlign w:val="center"/>
          </w:tcPr>
          <w:p w14:paraId="1F1E6CE5">
            <w:pPr>
              <w:pStyle w:val="13"/>
              <w:ind w:firstLine="0" w:firstLineChars="0"/>
              <w:rPr>
                <w:rStyle w:val="8"/>
                <w:rFonts w:hAnsi="宋体" w:cs="Segoe UI"/>
                <w:b w:val="0"/>
                <w:color w:val="0F1115"/>
                <w:szCs w:val="21"/>
              </w:rPr>
            </w:pPr>
            <w:r>
              <w:rPr>
                <w:rFonts w:hint="eastAsia"/>
              </w:rPr>
              <w:t>技术管理创新</w:t>
            </w:r>
          </w:p>
        </w:tc>
      </w:tr>
      <w:tr w14:paraId="46A5A288">
        <w:tc>
          <w:tcPr>
            <w:tcW w:w="1951" w:type="dxa"/>
            <w:vAlign w:val="center"/>
          </w:tcPr>
          <w:p w14:paraId="6E3DF41E">
            <w:pPr>
              <w:pStyle w:val="13"/>
              <w:ind w:firstLine="0" w:firstLineChars="0"/>
              <w:rPr>
                <w:rFonts w:hAnsi="宋体"/>
                <w:szCs w:val="21"/>
              </w:rPr>
            </w:pPr>
            <w:r>
              <w:rPr>
                <w:rFonts w:hint="eastAsia" w:hAnsi="宋体"/>
                <w:szCs w:val="21"/>
              </w:rPr>
              <w:t>A11</w:t>
            </w:r>
          </w:p>
        </w:tc>
        <w:tc>
          <w:tcPr>
            <w:tcW w:w="3686" w:type="dxa"/>
            <w:vMerge w:val="restart"/>
            <w:vAlign w:val="center"/>
          </w:tcPr>
          <w:p w14:paraId="59CB201A">
            <w:pPr>
              <w:pStyle w:val="13"/>
              <w:ind w:firstLine="0" w:firstLineChars="0"/>
              <w:rPr>
                <w:rFonts w:hAnsi="宋体"/>
                <w:szCs w:val="21"/>
              </w:rPr>
            </w:pPr>
            <w:bookmarkStart w:id="250" w:name="OLE_LINK37"/>
            <w:bookmarkStart w:id="251" w:name="OLE_LINK36"/>
            <w:r>
              <w:rPr>
                <w:rFonts w:hint="eastAsia" w:hAnsi="宋体"/>
                <w:szCs w:val="21"/>
              </w:rPr>
              <w:t>诚信评估</w:t>
            </w:r>
            <w:bookmarkEnd w:id="250"/>
            <w:bookmarkEnd w:id="251"/>
            <w:r>
              <w:rPr>
                <w:rFonts w:hint="eastAsia" w:hAnsi="宋体"/>
                <w:szCs w:val="21"/>
              </w:rPr>
              <w:t>（参考</w:t>
            </w:r>
            <w:bookmarkStart w:id="252" w:name="OLE_LINK62"/>
            <w:bookmarkStart w:id="253" w:name="OLE_LINK63"/>
            <w:bookmarkStart w:id="254" w:name="OLE_LINK34"/>
            <w:bookmarkStart w:id="255" w:name="OLE_LINK35"/>
            <w:r>
              <w:rPr>
                <w:rFonts w:hint="eastAsia" w:hAnsi="宋体"/>
                <w:szCs w:val="21"/>
              </w:rPr>
              <w:t>GB/T 39663</w:t>
            </w:r>
            <w:bookmarkEnd w:id="252"/>
            <w:bookmarkEnd w:id="253"/>
            <w:r>
              <w:rPr>
                <w:rFonts w:hint="eastAsia" w:hAnsi="宋体"/>
                <w:szCs w:val="21"/>
              </w:rPr>
              <w:t>-2021  检验检测机构诚信报告编制规范）</w:t>
            </w:r>
            <w:bookmarkEnd w:id="254"/>
            <w:bookmarkEnd w:id="255"/>
          </w:p>
        </w:tc>
        <w:tc>
          <w:tcPr>
            <w:tcW w:w="3933" w:type="dxa"/>
            <w:vAlign w:val="center"/>
          </w:tcPr>
          <w:p w14:paraId="609B735D">
            <w:pPr>
              <w:pStyle w:val="13"/>
              <w:ind w:firstLine="0" w:firstLineChars="0"/>
              <w:rPr>
                <w:rFonts w:hAnsi="宋体"/>
                <w:bCs/>
                <w:szCs w:val="21"/>
              </w:rPr>
            </w:pPr>
            <w:r>
              <w:rPr>
                <w:rFonts w:hint="eastAsia" w:hAnsi="宋体"/>
                <w:bCs/>
                <w:szCs w:val="21"/>
              </w:rPr>
              <w:t>基本信息</w:t>
            </w:r>
          </w:p>
        </w:tc>
      </w:tr>
      <w:tr w14:paraId="7ED8D282">
        <w:tc>
          <w:tcPr>
            <w:tcW w:w="1951" w:type="dxa"/>
            <w:vAlign w:val="center"/>
          </w:tcPr>
          <w:p w14:paraId="5B591CE3">
            <w:pPr>
              <w:pStyle w:val="13"/>
              <w:ind w:firstLine="0" w:firstLineChars="0"/>
              <w:rPr>
                <w:rFonts w:hAnsi="宋体"/>
                <w:szCs w:val="21"/>
              </w:rPr>
            </w:pPr>
            <w:r>
              <w:rPr>
                <w:rFonts w:hint="eastAsia" w:hAnsi="宋体"/>
                <w:szCs w:val="21"/>
              </w:rPr>
              <w:t>A12</w:t>
            </w:r>
          </w:p>
        </w:tc>
        <w:tc>
          <w:tcPr>
            <w:tcW w:w="3686" w:type="dxa"/>
            <w:vMerge w:val="continue"/>
            <w:vAlign w:val="center"/>
          </w:tcPr>
          <w:p w14:paraId="04B6165F">
            <w:pPr>
              <w:pStyle w:val="13"/>
              <w:ind w:firstLine="0" w:firstLineChars="0"/>
              <w:rPr>
                <w:rFonts w:hAnsi="宋体"/>
                <w:szCs w:val="21"/>
              </w:rPr>
            </w:pPr>
          </w:p>
        </w:tc>
        <w:tc>
          <w:tcPr>
            <w:tcW w:w="3933" w:type="dxa"/>
            <w:vAlign w:val="center"/>
          </w:tcPr>
          <w:p w14:paraId="5884EF2F">
            <w:pPr>
              <w:pStyle w:val="13"/>
              <w:ind w:firstLine="0" w:firstLineChars="0"/>
              <w:rPr>
                <w:rFonts w:hAnsi="宋体"/>
                <w:bCs/>
                <w:szCs w:val="21"/>
              </w:rPr>
            </w:pPr>
            <w:r>
              <w:rPr>
                <w:rFonts w:hint="eastAsia" w:hAnsi="宋体"/>
                <w:bCs/>
                <w:szCs w:val="21"/>
              </w:rPr>
              <w:t>财务信息</w:t>
            </w:r>
          </w:p>
        </w:tc>
      </w:tr>
      <w:tr w14:paraId="62D2AC9F">
        <w:tc>
          <w:tcPr>
            <w:tcW w:w="1951" w:type="dxa"/>
            <w:vAlign w:val="center"/>
          </w:tcPr>
          <w:p w14:paraId="5F10CFC4">
            <w:pPr>
              <w:pStyle w:val="13"/>
              <w:ind w:firstLine="0" w:firstLineChars="0"/>
              <w:rPr>
                <w:rFonts w:hAnsi="宋体"/>
                <w:szCs w:val="21"/>
              </w:rPr>
            </w:pPr>
            <w:r>
              <w:rPr>
                <w:rFonts w:hint="eastAsia" w:hAnsi="宋体"/>
                <w:szCs w:val="21"/>
              </w:rPr>
              <w:t>A13</w:t>
            </w:r>
          </w:p>
        </w:tc>
        <w:tc>
          <w:tcPr>
            <w:tcW w:w="3686" w:type="dxa"/>
            <w:vMerge w:val="continue"/>
            <w:vAlign w:val="center"/>
          </w:tcPr>
          <w:p w14:paraId="22FF8CDD">
            <w:pPr>
              <w:pStyle w:val="13"/>
              <w:ind w:firstLine="0" w:firstLineChars="0"/>
              <w:rPr>
                <w:rFonts w:hAnsi="宋体"/>
                <w:szCs w:val="21"/>
              </w:rPr>
            </w:pPr>
          </w:p>
        </w:tc>
        <w:tc>
          <w:tcPr>
            <w:tcW w:w="3933" w:type="dxa"/>
            <w:vAlign w:val="center"/>
          </w:tcPr>
          <w:p w14:paraId="40CBBB06">
            <w:pPr>
              <w:pStyle w:val="13"/>
              <w:ind w:firstLine="0" w:firstLineChars="0"/>
              <w:rPr>
                <w:rFonts w:hAnsi="宋体"/>
                <w:bCs/>
                <w:szCs w:val="21"/>
              </w:rPr>
            </w:pPr>
            <w:r>
              <w:rPr>
                <w:rFonts w:hint="eastAsia" w:hAnsi="宋体"/>
                <w:bCs/>
                <w:szCs w:val="21"/>
              </w:rPr>
              <w:t>社会公众信息</w:t>
            </w:r>
          </w:p>
        </w:tc>
      </w:tr>
      <w:tr w14:paraId="19C548FA">
        <w:tc>
          <w:tcPr>
            <w:tcW w:w="1951" w:type="dxa"/>
            <w:vAlign w:val="center"/>
          </w:tcPr>
          <w:p w14:paraId="473528A0">
            <w:pPr>
              <w:pStyle w:val="13"/>
              <w:ind w:firstLine="0" w:firstLineChars="0"/>
              <w:rPr>
                <w:rFonts w:hAnsi="宋体"/>
                <w:szCs w:val="21"/>
              </w:rPr>
            </w:pPr>
            <w:r>
              <w:rPr>
                <w:rFonts w:hint="eastAsia" w:hAnsi="宋体"/>
                <w:szCs w:val="21"/>
              </w:rPr>
              <w:t>A14</w:t>
            </w:r>
          </w:p>
        </w:tc>
        <w:tc>
          <w:tcPr>
            <w:tcW w:w="3686" w:type="dxa"/>
            <w:vMerge w:val="continue"/>
            <w:vAlign w:val="center"/>
          </w:tcPr>
          <w:p w14:paraId="5D646C4C">
            <w:pPr>
              <w:pStyle w:val="13"/>
              <w:ind w:firstLine="0" w:firstLineChars="0"/>
              <w:rPr>
                <w:rFonts w:hAnsi="宋体"/>
                <w:szCs w:val="21"/>
              </w:rPr>
            </w:pPr>
          </w:p>
        </w:tc>
        <w:tc>
          <w:tcPr>
            <w:tcW w:w="3933" w:type="dxa"/>
            <w:vAlign w:val="center"/>
          </w:tcPr>
          <w:p w14:paraId="709B8835">
            <w:pPr>
              <w:pStyle w:val="13"/>
              <w:ind w:firstLine="0" w:firstLineChars="0"/>
              <w:rPr>
                <w:rFonts w:hAnsi="宋体"/>
                <w:bCs/>
                <w:szCs w:val="21"/>
              </w:rPr>
            </w:pPr>
            <w:r>
              <w:rPr>
                <w:rFonts w:hint="eastAsia" w:hAnsi="宋体"/>
                <w:bCs/>
                <w:szCs w:val="21"/>
              </w:rPr>
              <w:t>行业信息</w:t>
            </w:r>
          </w:p>
        </w:tc>
      </w:tr>
      <w:tr w14:paraId="43A3A53E">
        <w:tc>
          <w:tcPr>
            <w:tcW w:w="1951" w:type="dxa"/>
            <w:vAlign w:val="center"/>
          </w:tcPr>
          <w:p w14:paraId="408D4BB4">
            <w:pPr>
              <w:pStyle w:val="13"/>
              <w:ind w:firstLine="0" w:firstLineChars="0"/>
              <w:rPr>
                <w:rFonts w:hAnsi="宋体"/>
                <w:szCs w:val="21"/>
              </w:rPr>
            </w:pPr>
            <w:r>
              <w:rPr>
                <w:rFonts w:hint="eastAsia" w:hAnsi="宋体"/>
                <w:szCs w:val="21"/>
              </w:rPr>
              <w:t>A15</w:t>
            </w:r>
          </w:p>
        </w:tc>
        <w:tc>
          <w:tcPr>
            <w:tcW w:w="3686" w:type="dxa"/>
            <w:vMerge w:val="restart"/>
            <w:vAlign w:val="center"/>
          </w:tcPr>
          <w:p w14:paraId="079E0AAA">
            <w:pPr>
              <w:pStyle w:val="13"/>
              <w:ind w:firstLine="0" w:firstLineChars="0"/>
              <w:rPr>
                <w:rFonts w:hAnsi="宋体"/>
                <w:szCs w:val="21"/>
              </w:rPr>
            </w:pPr>
            <w:bookmarkStart w:id="256" w:name="OLE_LINK16"/>
            <w:bookmarkStart w:id="257" w:name="OLE_LINK17"/>
            <w:r>
              <w:rPr>
                <w:rFonts w:hint="eastAsia" w:hAnsi="宋体"/>
                <w:szCs w:val="21"/>
              </w:rPr>
              <w:t>数智化评估</w:t>
            </w:r>
            <w:bookmarkEnd w:id="256"/>
            <w:bookmarkEnd w:id="257"/>
          </w:p>
        </w:tc>
        <w:tc>
          <w:tcPr>
            <w:tcW w:w="3933" w:type="dxa"/>
            <w:vAlign w:val="center"/>
          </w:tcPr>
          <w:p w14:paraId="550BE02B">
            <w:pPr>
              <w:pStyle w:val="13"/>
              <w:ind w:firstLine="0" w:firstLineChars="0"/>
              <w:rPr>
                <w:rFonts w:hAnsi="宋体"/>
                <w:szCs w:val="21"/>
              </w:rPr>
            </w:pPr>
            <w:r>
              <w:rPr>
                <w:rFonts w:hint="eastAsia" w:hAnsi="宋体"/>
                <w:szCs w:val="21"/>
              </w:rPr>
              <w:t>基础设施与互联互通能力</w:t>
            </w:r>
          </w:p>
        </w:tc>
      </w:tr>
      <w:tr w14:paraId="468FB026">
        <w:tc>
          <w:tcPr>
            <w:tcW w:w="1951" w:type="dxa"/>
            <w:vAlign w:val="center"/>
          </w:tcPr>
          <w:p w14:paraId="78070A45">
            <w:pPr>
              <w:pStyle w:val="13"/>
              <w:ind w:firstLine="0" w:firstLineChars="0"/>
              <w:rPr>
                <w:rFonts w:hAnsi="宋体"/>
                <w:szCs w:val="21"/>
              </w:rPr>
            </w:pPr>
            <w:r>
              <w:rPr>
                <w:rFonts w:hint="eastAsia" w:hAnsi="宋体"/>
                <w:szCs w:val="21"/>
              </w:rPr>
              <w:t>A16</w:t>
            </w:r>
          </w:p>
        </w:tc>
        <w:tc>
          <w:tcPr>
            <w:tcW w:w="3686" w:type="dxa"/>
            <w:vMerge w:val="continue"/>
            <w:vAlign w:val="center"/>
          </w:tcPr>
          <w:p w14:paraId="4121F599">
            <w:pPr>
              <w:pStyle w:val="13"/>
              <w:ind w:firstLine="0" w:firstLineChars="0"/>
              <w:rPr>
                <w:rFonts w:hAnsi="宋体"/>
                <w:szCs w:val="21"/>
              </w:rPr>
            </w:pPr>
          </w:p>
        </w:tc>
        <w:tc>
          <w:tcPr>
            <w:tcW w:w="3933" w:type="dxa"/>
            <w:vAlign w:val="center"/>
          </w:tcPr>
          <w:p w14:paraId="4ED7C439">
            <w:pPr>
              <w:pStyle w:val="13"/>
              <w:ind w:firstLine="0" w:firstLineChars="0"/>
              <w:rPr>
                <w:rFonts w:hAnsi="宋体"/>
                <w:szCs w:val="21"/>
              </w:rPr>
            </w:pPr>
            <w:r>
              <w:rPr>
                <w:rFonts w:hint="eastAsia" w:hAnsi="宋体"/>
                <w:szCs w:val="21"/>
              </w:rPr>
              <w:t>数据治理与标准化水平</w:t>
            </w:r>
          </w:p>
        </w:tc>
      </w:tr>
      <w:tr w14:paraId="21592E4E">
        <w:tc>
          <w:tcPr>
            <w:tcW w:w="1951" w:type="dxa"/>
            <w:vAlign w:val="center"/>
          </w:tcPr>
          <w:p w14:paraId="11657BCC">
            <w:pPr>
              <w:pStyle w:val="13"/>
              <w:ind w:firstLine="0" w:firstLineChars="0"/>
              <w:rPr>
                <w:rFonts w:hAnsi="宋体"/>
                <w:szCs w:val="21"/>
              </w:rPr>
            </w:pPr>
            <w:r>
              <w:rPr>
                <w:rFonts w:hint="eastAsia" w:hAnsi="宋体"/>
                <w:szCs w:val="21"/>
              </w:rPr>
              <w:t>A17</w:t>
            </w:r>
          </w:p>
        </w:tc>
        <w:tc>
          <w:tcPr>
            <w:tcW w:w="3686" w:type="dxa"/>
            <w:vMerge w:val="continue"/>
            <w:vAlign w:val="center"/>
          </w:tcPr>
          <w:p w14:paraId="7D4AFA5A">
            <w:pPr>
              <w:pStyle w:val="13"/>
              <w:ind w:firstLine="0" w:firstLineChars="0"/>
              <w:rPr>
                <w:rFonts w:hAnsi="宋体"/>
                <w:szCs w:val="21"/>
              </w:rPr>
            </w:pPr>
          </w:p>
        </w:tc>
        <w:tc>
          <w:tcPr>
            <w:tcW w:w="3933" w:type="dxa"/>
            <w:vAlign w:val="center"/>
          </w:tcPr>
          <w:p w14:paraId="40734635">
            <w:pPr>
              <w:pStyle w:val="13"/>
              <w:ind w:firstLine="0" w:firstLineChars="0"/>
              <w:rPr>
                <w:rFonts w:hAnsi="宋体"/>
                <w:szCs w:val="21"/>
              </w:rPr>
            </w:pPr>
            <w:r>
              <w:rPr>
                <w:rFonts w:hint="eastAsia" w:hAnsi="宋体"/>
                <w:szCs w:val="21"/>
              </w:rPr>
              <w:t>业务流程智能化应用</w:t>
            </w:r>
          </w:p>
        </w:tc>
      </w:tr>
      <w:tr w14:paraId="74AE4E19">
        <w:tc>
          <w:tcPr>
            <w:tcW w:w="1951" w:type="dxa"/>
            <w:vAlign w:val="center"/>
          </w:tcPr>
          <w:p w14:paraId="75523203">
            <w:pPr>
              <w:pStyle w:val="13"/>
              <w:ind w:firstLine="0" w:firstLineChars="0"/>
              <w:rPr>
                <w:rFonts w:hAnsi="宋体"/>
                <w:szCs w:val="21"/>
              </w:rPr>
            </w:pPr>
            <w:r>
              <w:rPr>
                <w:rFonts w:hint="eastAsia" w:hAnsi="宋体"/>
                <w:szCs w:val="21"/>
              </w:rPr>
              <w:t>A18</w:t>
            </w:r>
          </w:p>
        </w:tc>
        <w:tc>
          <w:tcPr>
            <w:tcW w:w="3686" w:type="dxa"/>
            <w:vMerge w:val="continue"/>
            <w:vAlign w:val="center"/>
          </w:tcPr>
          <w:p w14:paraId="6D558876">
            <w:pPr>
              <w:pStyle w:val="13"/>
              <w:ind w:firstLine="0" w:firstLineChars="0"/>
              <w:rPr>
                <w:rFonts w:hAnsi="宋体"/>
                <w:szCs w:val="21"/>
              </w:rPr>
            </w:pPr>
          </w:p>
        </w:tc>
        <w:tc>
          <w:tcPr>
            <w:tcW w:w="3933" w:type="dxa"/>
            <w:vAlign w:val="center"/>
          </w:tcPr>
          <w:p w14:paraId="0560FBF3">
            <w:pPr>
              <w:pStyle w:val="13"/>
              <w:ind w:firstLine="0" w:firstLineChars="0"/>
              <w:rPr>
                <w:rFonts w:hAnsi="宋体"/>
                <w:szCs w:val="21"/>
              </w:rPr>
            </w:pPr>
            <w:r>
              <w:rPr>
                <w:rFonts w:hint="eastAsia" w:hAnsi="宋体"/>
                <w:szCs w:val="21"/>
              </w:rPr>
              <w:t>决策支持与运营效能</w:t>
            </w:r>
          </w:p>
        </w:tc>
      </w:tr>
      <w:tr w14:paraId="0B71C40F">
        <w:tc>
          <w:tcPr>
            <w:tcW w:w="1951" w:type="dxa"/>
            <w:vAlign w:val="center"/>
          </w:tcPr>
          <w:p w14:paraId="5DF71775">
            <w:pPr>
              <w:pStyle w:val="13"/>
              <w:ind w:firstLine="0" w:firstLineChars="0"/>
              <w:rPr>
                <w:rFonts w:hAnsi="宋体"/>
                <w:szCs w:val="21"/>
              </w:rPr>
            </w:pPr>
            <w:r>
              <w:rPr>
                <w:rFonts w:hint="eastAsia" w:hAnsi="宋体"/>
                <w:szCs w:val="21"/>
              </w:rPr>
              <w:t>A19</w:t>
            </w:r>
          </w:p>
        </w:tc>
        <w:tc>
          <w:tcPr>
            <w:tcW w:w="3686" w:type="dxa"/>
            <w:vMerge w:val="continue"/>
            <w:vAlign w:val="center"/>
          </w:tcPr>
          <w:p w14:paraId="6B4BBF70">
            <w:pPr>
              <w:pStyle w:val="13"/>
              <w:ind w:firstLine="0" w:firstLineChars="0"/>
              <w:rPr>
                <w:rFonts w:hAnsi="宋体"/>
                <w:szCs w:val="21"/>
              </w:rPr>
            </w:pPr>
          </w:p>
        </w:tc>
        <w:tc>
          <w:tcPr>
            <w:tcW w:w="3933" w:type="dxa"/>
            <w:vAlign w:val="center"/>
          </w:tcPr>
          <w:p w14:paraId="53FC2705">
            <w:pPr>
              <w:pStyle w:val="13"/>
              <w:ind w:firstLine="0" w:firstLineChars="0"/>
              <w:rPr>
                <w:rFonts w:hAnsi="宋体"/>
                <w:szCs w:val="21"/>
              </w:rPr>
            </w:pPr>
            <w:r>
              <w:rPr>
                <w:rFonts w:hAnsi="宋体"/>
                <w:szCs w:val="21"/>
              </w:rPr>
              <w:t>网络安全与合规韧性</w:t>
            </w:r>
          </w:p>
        </w:tc>
      </w:tr>
      <w:tr w14:paraId="324EB8E7">
        <w:tc>
          <w:tcPr>
            <w:tcW w:w="1951" w:type="dxa"/>
            <w:vAlign w:val="center"/>
          </w:tcPr>
          <w:p w14:paraId="267B33BD">
            <w:pPr>
              <w:pStyle w:val="13"/>
              <w:ind w:firstLine="0" w:firstLineChars="0"/>
              <w:rPr>
                <w:rFonts w:hAnsi="宋体"/>
                <w:szCs w:val="21"/>
              </w:rPr>
            </w:pPr>
            <w:r>
              <w:rPr>
                <w:rFonts w:hint="eastAsia" w:hAnsi="宋体"/>
                <w:szCs w:val="21"/>
              </w:rPr>
              <w:t>A20</w:t>
            </w:r>
          </w:p>
        </w:tc>
        <w:tc>
          <w:tcPr>
            <w:tcW w:w="3686" w:type="dxa"/>
            <w:vMerge w:val="restart"/>
            <w:vAlign w:val="center"/>
          </w:tcPr>
          <w:p w14:paraId="5F7CADA7">
            <w:pPr>
              <w:pStyle w:val="13"/>
              <w:ind w:firstLine="0" w:firstLineChars="0"/>
              <w:rPr>
                <w:rFonts w:hAnsi="宋体"/>
                <w:szCs w:val="21"/>
              </w:rPr>
            </w:pPr>
            <w:bookmarkStart w:id="258" w:name="OLE_LINK33"/>
            <w:bookmarkStart w:id="259" w:name="OLE_LINK32"/>
            <w:r>
              <w:rPr>
                <w:rFonts w:hint="eastAsia" w:hAnsi="宋体"/>
                <w:szCs w:val="21"/>
              </w:rPr>
              <w:t>报告溯源验证</w:t>
            </w:r>
            <w:bookmarkEnd w:id="258"/>
            <w:bookmarkEnd w:id="259"/>
          </w:p>
        </w:tc>
        <w:tc>
          <w:tcPr>
            <w:tcW w:w="3933" w:type="dxa"/>
            <w:vAlign w:val="center"/>
          </w:tcPr>
          <w:p w14:paraId="4D1ED142">
            <w:pPr>
              <w:pStyle w:val="13"/>
              <w:ind w:firstLine="0" w:firstLineChars="0"/>
              <w:rPr>
                <w:rFonts w:hAnsi="宋体"/>
                <w:szCs w:val="21"/>
              </w:rPr>
            </w:pPr>
            <w:r>
              <w:rPr>
                <w:rFonts w:hAnsi="宋体"/>
                <w:szCs w:val="21"/>
              </w:rPr>
              <w:t>身份与真实性验证</w:t>
            </w:r>
            <w:r>
              <w:rPr>
                <w:rFonts w:hint="eastAsia" w:hAnsi="宋体"/>
                <w:szCs w:val="21"/>
              </w:rPr>
              <w:t>指数</w:t>
            </w:r>
          </w:p>
        </w:tc>
      </w:tr>
      <w:tr w14:paraId="120603B3">
        <w:tc>
          <w:tcPr>
            <w:tcW w:w="1951" w:type="dxa"/>
            <w:vAlign w:val="center"/>
          </w:tcPr>
          <w:p w14:paraId="11184D4A">
            <w:pPr>
              <w:pStyle w:val="13"/>
              <w:ind w:firstLine="0" w:firstLineChars="0"/>
              <w:rPr>
                <w:rFonts w:hAnsi="宋体"/>
                <w:szCs w:val="21"/>
              </w:rPr>
            </w:pPr>
            <w:r>
              <w:rPr>
                <w:rFonts w:hint="eastAsia" w:hAnsi="宋体"/>
                <w:szCs w:val="21"/>
              </w:rPr>
              <w:t>A21</w:t>
            </w:r>
          </w:p>
        </w:tc>
        <w:tc>
          <w:tcPr>
            <w:tcW w:w="3686" w:type="dxa"/>
            <w:vMerge w:val="continue"/>
            <w:vAlign w:val="center"/>
          </w:tcPr>
          <w:p w14:paraId="6C59BB6A">
            <w:pPr>
              <w:pStyle w:val="13"/>
              <w:ind w:firstLine="0" w:firstLineChars="0"/>
              <w:rPr>
                <w:rFonts w:hAnsi="宋体"/>
                <w:szCs w:val="21"/>
              </w:rPr>
            </w:pPr>
          </w:p>
        </w:tc>
        <w:tc>
          <w:tcPr>
            <w:tcW w:w="3933" w:type="dxa"/>
            <w:vAlign w:val="center"/>
          </w:tcPr>
          <w:p w14:paraId="4977BFCD">
            <w:pPr>
              <w:pStyle w:val="13"/>
              <w:ind w:firstLine="0" w:firstLineChars="0"/>
              <w:rPr>
                <w:rFonts w:hAnsi="宋体"/>
                <w:szCs w:val="21"/>
              </w:rPr>
            </w:pPr>
            <w:r>
              <w:rPr>
                <w:rFonts w:hAnsi="宋体"/>
                <w:szCs w:val="21"/>
              </w:rPr>
              <w:t>数据完整性与防篡改</w:t>
            </w:r>
            <w:r>
              <w:rPr>
                <w:rFonts w:hint="eastAsia" w:hAnsi="宋体"/>
                <w:szCs w:val="21"/>
              </w:rPr>
              <w:t>指数</w:t>
            </w:r>
          </w:p>
        </w:tc>
      </w:tr>
      <w:tr w14:paraId="07864BDC">
        <w:tc>
          <w:tcPr>
            <w:tcW w:w="1951" w:type="dxa"/>
            <w:vAlign w:val="center"/>
          </w:tcPr>
          <w:p w14:paraId="0BC8B6E8">
            <w:pPr>
              <w:pStyle w:val="13"/>
              <w:ind w:firstLine="0" w:firstLineChars="0"/>
              <w:rPr>
                <w:rFonts w:hAnsi="宋体"/>
                <w:szCs w:val="21"/>
              </w:rPr>
            </w:pPr>
            <w:r>
              <w:rPr>
                <w:rFonts w:hint="eastAsia" w:hAnsi="宋体"/>
                <w:szCs w:val="21"/>
              </w:rPr>
              <w:t>A22</w:t>
            </w:r>
          </w:p>
        </w:tc>
        <w:tc>
          <w:tcPr>
            <w:tcW w:w="3686" w:type="dxa"/>
            <w:vMerge w:val="continue"/>
            <w:vAlign w:val="center"/>
          </w:tcPr>
          <w:p w14:paraId="2E1DA3B2">
            <w:pPr>
              <w:pStyle w:val="13"/>
              <w:ind w:firstLine="0" w:firstLineChars="0"/>
              <w:rPr>
                <w:rFonts w:hAnsi="宋体"/>
                <w:szCs w:val="21"/>
              </w:rPr>
            </w:pPr>
          </w:p>
        </w:tc>
        <w:tc>
          <w:tcPr>
            <w:tcW w:w="3933" w:type="dxa"/>
            <w:vAlign w:val="center"/>
          </w:tcPr>
          <w:p w14:paraId="421DAD18">
            <w:pPr>
              <w:pStyle w:val="13"/>
              <w:ind w:firstLine="0" w:firstLineChars="0"/>
              <w:rPr>
                <w:rFonts w:hAnsi="宋体"/>
                <w:szCs w:val="21"/>
              </w:rPr>
            </w:pPr>
            <w:r>
              <w:rPr>
                <w:rFonts w:hAnsi="宋体"/>
                <w:szCs w:val="21"/>
              </w:rPr>
              <w:t>过程全链路还原</w:t>
            </w:r>
            <w:r>
              <w:rPr>
                <w:rFonts w:hint="eastAsia" w:hAnsi="宋体"/>
                <w:szCs w:val="21"/>
              </w:rPr>
              <w:t>指数</w:t>
            </w:r>
          </w:p>
        </w:tc>
      </w:tr>
      <w:tr w14:paraId="0941E4EC">
        <w:tc>
          <w:tcPr>
            <w:tcW w:w="1951" w:type="dxa"/>
            <w:vAlign w:val="center"/>
          </w:tcPr>
          <w:p w14:paraId="4618FE1B">
            <w:pPr>
              <w:pStyle w:val="13"/>
              <w:ind w:firstLine="0" w:firstLineChars="0"/>
              <w:rPr>
                <w:rFonts w:hAnsi="宋体"/>
                <w:szCs w:val="21"/>
              </w:rPr>
            </w:pPr>
            <w:r>
              <w:rPr>
                <w:rFonts w:hint="eastAsia" w:hAnsi="宋体"/>
                <w:szCs w:val="21"/>
              </w:rPr>
              <w:t>A23</w:t>
            </w:r>
          </w:p>
        </w:tc>
        <w:tc>
          <w:tcPr>
            <w:tcW w:w="3686" w:type="dxa"/>
            <w:vMerge w:val="continue"/>
            <w:vAlign w:val="center"/>
          </w:tcPr>
          <w:p w14:paraId="47D91AB7">
            <w:pPr>
              <w:pStyle w:val="13"/>
              <w:ind w:firstLine="0" w:firstLineChars="0"/>
              <w:rPr>
                <w:rFonts w:hAnsi="宋体"/>
                <w:szCs w:val="21"/>
              </w:rPr>
            </w:pPr>
          </w:p>
        </w:tc>
        <w:tc>
          <w:tcPr>
            <w:tcW w:w="3933" w:type="dxa"/>
            <w:vAlign w:val="center"/>
          </w:tcPr>
          <w:p w14:paraId="6EE2AE34">
            <w:pPr>
              <w:pStyle w:val="13"/>
              <w:ind w:firstLine="0" w:firstLineChars="0"/>
              <w:rPr>
                <w:rFonts w:hAnsi="宋体"/>
                <w:szCs w:val="21"/>
              </w:rPr>
            </w:pPr>
            <w:r>
              <w:rPr>
                <w:rFonts w:hAnsi="宋体"/>
                <w:szCs w:val="21"/>
              </w:rPr>
              <w:t>验证效率与响应</w:t>
            </w:r>
            <w:r>
              <w:rPr>
                <w:rFonts w:hint="eastAsia" w:hAnsi="宋体"/>
                <w:szCs w:val="21"/>
              </w:rPr>
              <w:t>指数</w:t>
            </w:r>
          </w:p>
        </w:tc>
      </w:tr>
    </w:tbl>
    <w:p w14:paraId="3FF7F818">
      <w:pPr>
        <w:pStyle w:val="13"/>
        <w:ind w:firstLine="0" w:firstLineChars="0"/>
      </w:pPr>
    </w:p>
    <w:p w14:paraId="26F579B3">
      <w:pPr>
        <w:pStyle w:val="13"/>
        <w:ind w:firstLine="420"/>
      </w:pPr>
    </w:p>
    <w:bookmarkEnd w:id="240"/>
    <w:bookmarkEnd w:id="241"/>
    <w:bookmarkEnd w:id="242"/>
    <w:p w14:paraId="324A9EB8">
      <w:pPr>
        <w:pStyle w:val="13"/>
        <w:ind w:firstLine="0" w:firstLineChars="0"/>
        <w:jc w:val="center"/>
      </w:pPr>
      <w:bookmarkStart w:id="260" w:name="BookMark8"/>
      <w:r>
        <w:drawing>
          <wp:inline distT="0" distB="0" distL="0" distR="0">
            <wp:extent cx="1485900" cy="317500"/>
            <wp:effectExtent l="0" t="0" r="12700" b="1270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8"/>
                    <a:stretch>
                      <a:fillRect/>
                    </a:stretch>
                  </pic:blipFill>
                  <pic:spPr>
                    <a:xfrm>
                      <a:off x="0" y="0"/>
                      <a:ext cx="1485900" cy="317500"/>
                    </a:xfrm>
                    <a:prstGeom prst="rect">
                      <a:avLst/>
                    </a:prstGeom>
                  </pic:spPr>
                </pic:pic>
              </a:graphicData>
            </a:graphic>
          </wp:inline>
        </w:drawing>
      </w:r>
      <w:bookmarkEnd w:id="260"/>
    </w:p>
    <w:p w14:paraId="6475B256"/>
    <w:sectPr>
      <w:headerReference r:id="rId21" w:type="default"/>
      <w:footerReference r:id="rId23" w:type="default"/>
      <w:headerReference r:id="rId22" w:type="even"/>
      <w:footerReference r:id="rId24" w:type="even"/>
      <w:pgSz w:w="11906" w:h="16838"/>
      <w:pgMar w:top="1928" w:right="1134" w:bottom="1134" w:left="1134" w:header="1418" w:footer="1134" w:gutter="284"/>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NEU-BZ-S92-Regular">
    <w:altName w:val="宋体-简"/>
    <w:panose1 w:val="00000000000000000000"/>
    <w:charset w:val="86"/>
    <w:family w:val="auto"/>
    <w:pitch w:val="default"/>
    <w:sig w:usb0="00000000" w:usb1="00000000" w:usb2="00000010" w:usb3="00000000" w:csb0="00040000" w:csb1="00000000"/>
  </w:font>
  <w:font w:name="Tahoma">
    <w:panose1 w:val="020B0804030504040204"/>
    <w:charset w:val="00"/>
    <w:family w:val="swiss"/>
    <w:pitch w:val="default"/>
    <w:sig w:usb0="E1002AFF" w:usb1="C000605B" w:usb2="00000029" w:usb3="00000000" w:csb0="200101FF" w:csb1="20280000"/>
  </w:font>
  <w:font w:name="FZ-SZ">
    <w:altName w:val="宋体-简"/>
    <w:panose1 w:val="00000000000000000000"/>
    <w:charset w:val="86"/>
    <w:family w:val="auto"/>
    <w:pitch w:val="default"/>
    <w:sig w:usb0="00000000" w:usb1="00000000" w:usb2="00000010" w:usb3="00000000" w:csb0="00040000" w:csb1="00000000"/>
  </w:font>
  <w:font w:name="Helvetica">
    <w:panose1 w:val="00000000000000000000"/>
    <w:charset w:val="00"/>
    <w:family w:val="swiss"/>
    <w:pitch w:val="default"/>
    <w:sig w:usb0="E00002FF" w:usb1="5000785B" w:usb2="00000000" w:usb3="00000000" w:csb0="2000019F" w:csb1="4F010000"/>
  </w:font>
  <w:font w:name="FZSSK--GBK1-0">
    <w:altName w:val="宋体-简"/>
    <w:panose1 w:val="00000000000000000000"/>
    <w:charset w:val="86"/>
    <w:family w:val="auto"/>
    <w:pitch w:val="default"/>
    <w:sig w:usb0="00000000" w:usb1="00000000" w:usb2="00000010" w:usb3="00000000" w:csb0="00040000" w:csb1="00000000"/>
  </w:font>
  <w:font w:name="Segoe UI">
    <w:altName w:val="苹方-简"/>
    <w:panose1 w:val="020B0502040204020203"/>
    <w:charset w:val="00"/>
    <w:family w:val="swiss"/>
    <w:pitch w:val="default"/>
    <w:sig w:usb0="00000000" w:usb1="00000000" w:usb2="00000029" w:usb3="00000000" w:csb0="000001DF"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C3A2C">
    <w:pPr>
      <w:pStyle w:val="2"/>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F93BA">
    <w:pPr>
      <w:pStyle w:val="2"/>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B2D7A">
    <w:pPr>
      <w:pStyle w:val="39"/>
    </w:pPr>
    <w:r>
      <w:fldChar w:fldCharType="begin"/>
    </w:r>
    <w:r>
      <w:instrText xml:space="preserve">PAGE   \* MERGEFORMAT</w:instrText>
    </w:r>
    <w:r>
      <w:fldChar w:fldCharType="separate"/>
    </w:r>
    <w:r>
      <w:rPr>
        <w:lang w:val="zh-CN"/>
      </w:rP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4BE2">
    <w:pPr>
      <w:pStyle w:val="40"/>
    </w:pPr>
    <w:r>
      <w:fldChar w:fldCharType="begin"/>
    </w:r>
    <w:r>
      <w:instrText xml:space="preserve"> PAGE   \* MERGEFORMAT \* MERGEFORMAT </w:instrText>
    </w:r>
    <w:r>
      <w:fldChar w:fldCharType="separate"/>
    </w:r>
    <w:r>
      <w:t>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577E7">
    <w:pPr>
      <w:pStyle w:val="39"/>
    </w:pPr>
    <w:r>
      <w:fldChar w:fldCharType="begin"/>
    </w:r>
    <w:r>
      <w:instrText xml:space="preserve">PAGE   \* MERGEFORMAT</w:instrText>
    </w:r>
    <w:r>
      <w:fldChar w:fldCharType="separate"/>
    </w:r>
    <w:r>
      <w:rPr>
        <w:lang w:val="zh-CN"/>
      </w:rPr>
      <w:t>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D7B37">
    <w:pPr>
      <w:pStyle w:val="40"/>
    </w:pPr>
    <w:r>
      <w:fldChar w:fldCharType="begin"/>
    </w:r>
    <w:r>
      <w:instrText xml:space="preserve"> PAGE   \* MERGEFORMAT \* MERGEFORMAT </w:instrText>
    </w:r>
    <w:r>
      <w:fldChar w:fldCharType="separate"/>
    </w:r>
    <w:r>
      <w:t>II</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92AA3">
    <w:pPr>
      <w:pStyle w:val="39"/>
    </w:pPr>
    <w:r>
      <w:fldChar w:fldCharType="begin"/>
    </w:r>
    <w:r>
      <w:instrText xml:space="preserve">PAGE   \* MERGEFORMAT</w:instrText>
    </w:r>
    <w:r>
      <w:fldChar w:fldCharType="separate"/>
    </w:r>
    <w:r>
      <w:rPr>
        <w:lang w:val="zh-CN"/>
      </w:rPr>
      <w:t>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B557F">
    <w:pPr>
      <w:pStyle w:val="40"/>
    </w:pPr>
    <w:r>
      <w:fldChar w:fldCharType="begin"/>
    </w:r>
    <w:r>
      <w:instrText xml:space="preserve"> PAGE   \* MERGEFORMAT \* MERGEFORMAT </w:instrText>
    </w:r>
    <w:r>
      <w:fldChar w:fldCharType="separate"/>
    </w:r>
    <w:r>
      <w:t>6</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25B7">
    <w:pPr>
      <w:pStyle w:val="39"/>
    </w:pPr>
    <w:r>
      <w:fldChar w:fldCharType="begin"/>
    </w:r>
    <w:r>
      <w:instrText xml:space="preserve">PAGE   \* MERGEFORMAT</w:instrText>
    </w:r>
    <w:r>
      <w:fldChar w:fldCharType="separate"/>
    </w:r>
    <w:r>
      <w:rPr>
        <w:lang w:val="zh-CN"/>
      </w:rPr>
      <w:t>9</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1E121">
    <w:pPr>
      <w:pStyle w:val="40"/>
    </w:pPr>
    <w:r>
      <w:fldChar w:fldCharType="begin"/>
    </w:r>
    <w:r>
      <w:instrText xml:space="preserve"> PAGE   \* MERGEFORMAT \* MERGEFORMAT </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59A76">
    <w:pPr>
      <w:pStyle w:val="3"/>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4D9B9">
    <w:pPr>
      <w:pStyle w:val="3"/>
      <w:jc w:val="both"/>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DC2B8">
    <w:pPr>
      <w:pStyle w:val="37"/>
    </w:pPr>
    <w:r>
      <w:fldChar w:fldCharType="begin"/>
    </w:r>
    <w:r>
      <w:instrText xml:space="preserve"> STYLEREF  标准文件_文件编号  \* MERGEFORMAT </w:instrText>
    </w:r>
    <w:r>
      <w:fldChar w:fldCharType="separate"/>
    </w:r>
    <w:r>
      <w:t>RB/T XXXXX—XXXX</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782B6">
    <w:pPr>
      <w:pStyle w:val="38"/>
    </w:pPr>
    <w:r>
      <w:fldChar w:fldCharType="begin"/>
    </w:r>
    <w:r>
      <w:instrText xml:space="preserve"> STYLEREF  标准文件_文件编号 \* MERGEFORMAT </w:instrText>
    </w:r>
    <w:r>
      <w:fldChar w:fldCharType="separate"/>
    </w:r>
    <w:r>
      <w:t>RB/T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0030D">
    <w:pPr>
      <w:pStyle w:val="37"/>
    </w:pPr>
    <w:r>
      <w:fldChar w:fldCharType="begin"/>
    </w:r>
    <w:r>
      <w:instrText xml:space="preserve"> STYLEREF  标准文件_文件编号  \* MERGEFORMAT </w:instrText>
    </w:r>
    <w:r>
      <w:fldChar w:fldCharType="separate"/>
    </w:r>
    <w:r>
      <w:t>RB/T XXXXX—XXXX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02381">
    <w:pPr>
      <w:pStyle w:val="38"/>
    </w:pPr>
    <w:r>
      <w:fldChar w:fldCharType="begin"/>
    </w:r>
    <w:r>
      <w:instrText xml:space="preserve"> STYLEREF  标准文件_文件编号 \* MERGEFORMAT </w:instrText>
    </w:r>
    <w:r>
      <w:fldChar w:fldCharType="separate"/>
    </w:r>
    <w:r>
      <w:t>RB/T XXXXX—XXXX</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37CA8">
    <w:pPr>
      <w:pStyle w:val="37"/>
    </w:pPr>
    <w:r>
      <w:fldChar w:fldCharType="begin"/>
    </w:r>
    <w:r>
      <w:instrText xml:space="preserve"> STYLEREF  标准文件_文件编号  \* MERGEFORMAT </w:instrText>
    </w:r>
    <w:r>
      <w:fldChar w:fldCharType="separate"/>
    </w:r>
    <w:r>
      <w:t>RB/T XXXXX—XXXX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F723E">
    <w:pPr>
      <w:pStyle w:val="38"/>
    </w:pPr>
    <w:r>
      <w:fldChar w:fldCharType="begin"/>
    </w:r>
    <w:r>
      <w:instrText xml:space="preserve"> STYLEREF  标准文件_文件编号 \* MERGEFORMAT </w:instrText>
    </w:r>
    <w:r>
      <w:fldChar w:fldCharType="separate"/>
    </w:r>
    <w:r>
      <w:t>RB/T XXXXX—XXXX</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D4C8E">
    <w:pPr>
      <w:pStyle w:val="37"/>
    </w:pPr>
    <w:r>
      <w:fldChar w:fldCharType="begin"/>
    </w:r>
    <w:r>
      <w:instrText xml:space="preserve"> STYLEREF  标准文件_文件编号  \* MERGEFORMAT </w:instrText>
    </w:r>
    <w:r>
      <w:fldChar w:fldCharType="separate"/>
    </w:r>
    <w:r>
      <w:t>RB/T XXXXX—XXXX</w:t>
    </w:r>
    <w: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4C0AA">
    <w:pPr>
      <w:pStyle w:val="38"/>
    </w:pPr>
    <w:r>
      <w:fldChar w:fldCharType="begin"/>
    </w:r>
    <w:r>
      <w:instrText xml:space="preserve"> STYLEREF  标准文件_文件编号 \* MERGEFORMAT </w:instrText>
    </w:r>
    <w:r>
      <w:fldChar w:fldCharType="separate"/>
    </w:r>
    <w:r>
      <w:t>RB/T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ED3FEA"/>
    <w:multiLevelType w:val="multilevel"/>
    <w:tmpl w:val="07ED3FEA"/>
    <w:lvl w:ilvl="0" w:tentative="0">
      <w:start w:val="1"/>
      <w:numFmt w:val="none"/>
      <w:pStyle w:val="25"/>
      <w:lvlText w:val="%1"/>
      <w:lvlJc w:val="left"/>
      <w:pPr>
        <w:ind w:left="425" w:hanging="425"/>
      </w:pPr>
      <w:rPr>
        <w:rFonts w:hint="eastAsia"/>
      </w:rPr>
    </w:lvl>
    <w:lvl w:ilvl="1" w:tentative="0">
      <w:start w:val="1"/>
      <w:numFmt w:val="decimal"/>
      <w:suff w:val="nothing"/>
      <w:lvlText w:val="%10.%2 "/>
      <w:lvlJc w:val="left"/>
      <w:pPr>
        <w:ind w:left="0" w:firstLine="0"/>
      </w:pPr>
      <w:rPr>
        <w:rFonts w:hint="eastAsia" w:ascii="黑体" w:eastAsia="黑体" w:hAnsiTheme="minorHAnsi"/>
        <w:b w:val="0"/>
        <w:i w:val="0"/>
        <w:sz w:val="21"/>
      </w:rPr>
    </w:lvl>
    <w:lvl w:ilvl="2" w:tentative="0">
      <w:start w:val="1"/>
      <w:numFmt w:val="decimal"/>
      <w:suff w:val="nothing"/>
      <w:lvlText w:val="%10.%2.%3 "/>
      <w:lvlJc w:val="left"/>
      <w:pPr>
        <w:ind w:left="0" w:firstLine="0"/>
      </w:pPr>
      <w:rPr>
        <w:rFonts w:hint="eastAsia" w:ascii="黑体" w:eastAsia="黑体" w:hAnsiTheme="minorHAnsi"/>
        <w:b w:val="0"/>
        <w:i w:val="0"/>
        <w:sz w:val="21"/>
      </w:rPr>
    </w:lvl>
    <w:lvl w:ilvl="3" w:tentative="0">
      <w:start w:val="1"/>
      <w:numFmt w:val="decimal"/>
      <w:suff w:val="nothing"/>
      <w:lvlText w:val="%10.%2.%3.%4 "/>
      <w:lvlJc w:val="left"/>
      <w:pPr>
        <w:ind w:left="0" w:firstLine="0"/>
      </w:pPr>
      <w:rPr>
        <w:rFonts w:hint="eastAsia" w:ascii="黑体" w:eastAsia="黑体" w:hAnsiTheme="minorHAnsi"/>
        <w:b w:val="0"/>
        <w:i w:val="0"/>
        <w:sz w:val="21"/>
      </w:rPr>
    </w:lvl>
    <w:lvl w:ilvl="4" w:tentative="0">
      <w:start w:val="1"/>
      <w:numFmt w:val="decimal"/>
      <w:suff w:val="nothing"/>
      <w:lvlText w:val="%10.%2.%3.%4.%5 "/>
      <w:lvlJc w:val="left"/>
      <w:pPr>
        <w:ind w:left="0" w:firstLine="0"/>
      </w:pPr>
      <w:rPr>
        <w:rFonts w:hint="eastAsia" w:ascii="黑体" w:eastAsia="黑体" w:hAnsiTheme="minorHAnsi"/>
        <w:b w:val="0"/>
        <w:i w:val="0"/>
        <w:sz w:val="21"/>
      </w:rPr>
    </w:lvl>
    <w:lvl w:ilvl="5" w:tentative="0">
      <w:start w:val="1"/>
      <w:numFmt w:val="decimal"/>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2C5917C3"/>
    <w:multiLevelType w:val="multilevel"/>
    <w:tmpl w:val="2C5917C3"/>
    <w:lvl w:ilvl="0" w:tentative="0">
      <w:start w:val="1"/>
      <w:numFmt w:val="none"/>
      <w:pStyle w:val="31"/>
      <w:lvlText w:val="%1——"/>
      <w:lvlJc w:val="left"/>
      <w:pPr>
        <w:tabs>
          <w:tab w:val="left" w:pos="851"/>
        </w:tabs>
        <w:ind w:left="851" w:hanging="426"/>
      </w:pPr>
      <w:rPr>
        <w:rFonts w:hint="eastAsia" w:ascii="宋体" w:hAnsi="Times New Roman" w:eastAsia="宋体"/>
        <w:b w:val="0"/>
        <w:i w:val="0"/>
        <w:sz w:val="21"/>
      </w:rPr>
    </w:lvl>
    <w:lvl w:ilvl="1" w:tentative="0">
      <w:start w:val="1"/>
      <w:numFmt w:val="none"/>
      <w:lvlText w:val=""/>
      <w:lvlJc w:val="left"/>
      <w:pPr>
        <w:ind w:left="851" w:hanging="431"/>
      </w:pPr>
      <w:rPr>
        <w:rFonts w:hint="default" w:ascii="Symbol" w:hAnsi="Symbol"/>
        <w:sz w:val="21"/>
      </w:rPr>
    </w:lvl>
    <w:lvl w:ilvl="2" w:tentative="0">
      <w:start w:val="1"/>
      <w:numFmt w:val="bullet"/>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2">
    <w:nsid w:val="48802D1C"/>
    <w:multiLevelType w:val="multilevel"/>
    <w:tmpl w:val="48802D1C"/>
    <w:lvl w:ilvl="0" w:tentative="0">
      <w:start w:val="1"/>
      <w:numFmt w:val="upperLetter"/>
      <w:pStyle w:val="33"/>
      <w:lvlText w:val="%1"/>
      <w:lvlJc w:val="left"/>
      <w:pPr>
        <w:ind w:left="420" w:hanging="420"/>
      </w:pPr>
      <w:rPr>
        <w:rFonts w:hint="eastAsia"/>
      </w:rPr>
    </w:lvl>
    <w:lvl w:ilvl="1" w:tentative="0">
      <w:start w:val="1"/>
      <w:numFmt w:val="decimal"/>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557C2AF5"/>
    <w:multiLevelType w:val="multilevel"/>
    <w:tmpl w:val="557C2AF5"/>
    <w:lvl w:ilvl="0" w:tentative="0">
      <w:start w:val="1"/>
      <w:numFmt w:val="decimal"/>
      <w:pStyle w:val="32"/>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4">
    <w:nsid w:val="5603797C"/>
    <w:multiLevelType w:val="multilevel"/>
    <w:tmpl w:val="5603797C"/>
    <w:lvl w:ilvl="0" w:tentative="0">
      <w:start w:val="1"/>
      <w:numFmt w:val="upperLetter"/>
      <w:pStyle w:val="34"/>
      <w:suff w:val="space"/>
      <w:lvlText w:val="%1"/>
      <w:lvlJc w:val="left"/>
      <w:pPr>
        <w:ind w:left="425" w:hanging="425"/>
      </w:pPr>
      <w:rPr>
        <w:rFonts w:hint="eastAsia"/>
      </w:rPr>
    </w:lvl>
    <w:lvl w:ilvl="1" w:tentative="0">
      <w:start w:val="1"/>
      <w:numFmt w:val="decimal"/>
      <w:pStyle w:val="36"/>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657D3FBC"/>
    <w:multiLevelType w:val="multilevel"/>
    <w:tmpl w:val="657D3FBC"/>
    <w:lvl w:ilvl="0" w:tentative="0">
      <w:start w:val="1"/>
      <w:numFmt w:val="upperLetter"/>
      <w:pStyle w:val="35"/>
      <w:suff w:val="nothing"/>
      <w:lvlText w:val="附录%1"/>
      <w:lvlJc w:val="left"/>
      <w:pPr>
        <w:ind w:left="0" w:firstLine="0"/>
      </w:pPr>
      <w:rPr>
        <w:rFonts w:hint="eastAsia"/>
        <w:spacing w:val="100"/>
      </w:rPr>
    </w:lvl>
    <w:lvl w:ilvl="1" w:tentative="0">
      <w:start w:val="1"/>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eastAsia="黑体"/>
        <w:b w:val="0"/>
        <w:i w:val="0"/>
        <w:sz w:val="21"/>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CEA2025"/>
    <w:multiLevelType w:val="multilevel"/>
    <w:tmpl w:val="6CEA2025"/>
    <w:lvl w:ilvl="0" w:tentative="0">
      <w:start w:val="1"/>
      <w:numFmt w:val="none"/>
      <w:suff w:val="nothing"/>
      <w:lvlText w:val="%1"/>
      <w:lvlJc w:val="left"/>
      <w:pPr>
        <w:ind w:left="0" w:firstLine="0"/>
      </w:pPr>
      <w:rPr>
        <w:rFonts w:hint="eastAsia"/>
      </w:rPr>
    </w:lvl>
    <w:lvl w:ilvl="1" w:tentative="0">
      <w:start w:val="1"/>
      <w:numFmt w:val="decimal"/>
      <w:pStyle w:val="27"/>
      <w:suff w:val="nothing"/>
      <w:lvlText w:val="%1%2　"/>
      <w:lvlJc w:val="left"/>
      <w:pPr>
        <w:ind w:left="0" w:firstLine="0"/>
      </w:pPr>
      <w:rPr>
        <w:rFonts w:hint="eastAsia" w:ascii="黑体" w:eastAsia="黑体"/>
        <w:b w:val="0"/>
        <w:i w:val="0"/>
        <w:sz w:val="21"/>
      </w:rPr>
    </w:lvl>
    <w:lvl w:ilvl="2" w:tentative="0">
      <w:start w:val="1"/>
      <w:numFmt w:val="decimal"/>
      <w:pStyle w:val="30"/>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 w:numId="2">
    <w:abstractNumId w:val="6"/>
  </w:num>
  <w:num w:numId="3">
    <w:abstractNumId w:val="1"/>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B2C9A"/>
    <w:rsid w:val="7FEB2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adjustRightInd/>
      <w:snapToGrid w:val="0"/>
      <w:spacing w:line="240" w:lineRule="auto"/>
      <w:jc w:val="right"/>
    </w:pPr>
    <w:rPr>
      <w:rFonts w:ascii="宋体"/>
      <w:sz w:val="18"/>
      <w:szCs w:val="18"/>
    </w:rPr>
  </w:style>
  <w:style w:type="paragraph" w:styleId="3">
    <w:name w:val="header"/>
    <w:basedOn w:val="1"/>
    <w:qFormat/>
    <w:uiPriority w:val="99"/>
    <w:pPr>
      <w:tabs>
        <w:tab w:val="center" w:pos="4153"/>
        <w:tab w:val="right" w:pos="8306"/>
      </w:tabs>
      <w:adjustRightInd/>
      <w:snapToGrid w:val="0"/>
      <w:jc w:val="center"/>
    </w:pPr>
    <w:rPr>
      <w:sz w:val="18"/>
      <w:szCs w:val="18"/>
    </w:rPr>
  </w:style>
  <w:style w:type="paragraph" w:styleId="4">
    <w:name w:val="toc 1"/>
    <w:basedOn w:val="1"/>
    <w:next w:val="1"/>
    <w:unhideWhenUsed/>
    <w:qFormat/>
    <w:uiPriority w:val="39"/>
    <w:rPr>
      <w:rFonts w:ascii="宋体"/>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qFormat/>
    <w:uiPriority w:val="22"/>
    <w:rPr>
      <w:b/>
      <w:bCs/>
    </w:rPr>
  </w:style>
  <w:style w:type="character" w:styleId="9">
    <w:name w:val="Hyperlink"/>
    <w:qFormat/>
    <w:uiPriority w:val="99"/>
    <w:rPr>
      <w:rFonts w:ascii="宋体" w:hAnsi="Times New Roman" w:eastAsia="宋体"/>
      <w:color w:val="auto"/>
      <w:spacing w:val="0"/>
      <w:w w:val="100"/>
      <w:position w:val="0"/>
      <w:sz w:val="21"/>
      <w:u w:val="none"/>
      <w:vertAlign w:val="baseline"/>
    </w:rPr>
  </w:style>
  <w:style w:type="paragraph" w:customStyle="1" w:styleId="1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1">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12">
    <w:name w:val="标准文件_文件编号"/>
    <w:basedOn w:val="13"/>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3">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
    <w:name w:val="标准文件_替换文件编号"/>
    <w:basedOn w:val="12"/>
    <w:qFormat/>
    <w:uiPriority w:val="0"/>
    <w:pPr>
      <w:spacing w:before="57"/>
    </w:pPr>
    <w:rPr>
      <w:sz w:val="21"/>
    </w:rPr>
  </w:style>
  <w:style w:type="paragraph" w:customStyle="1" w:styleId="15">
    <w:name w:val="标准文件_文件名称"/>
    <w:basedOn w:val="13"/>
    <w:next w:val="13"/>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6">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7">
    <w:name w:val="其他发布日期"/>
    <w:basedOn w:val="18"/>
    <w:qFormat/>
    <w:uiPriority w:val="0"/>
    <w:pPr>
      <w:framePr w:w="3997" w:h="471" w:hRule="exact" w:hSpace="0" w:vSpace="181" w:wrap="around" w:vAnchor="page" w:hAnchor="page" w:x="1419" w:y="14097"/>
    </w:pPr>
  </w:style>
  <w:style w:type="paragraph" w:customStyle="1" w:styleId="18">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9">
    <w:name w:val="其他实施日期"/>
    <w:basedOn w:val="20"/>
    <w:qFormat/>
    <w:uiPriority w:val="0"/>
    <w:pPr>
      <w:framePr w:w="3997" w:h="471" w:hRule="exact" w:vSpace="181" w:wrap="around" w:vAnchor="page" w:hAnchor="page" w:x="7089" w:y="14097"/>
    </w:pPr>
  </w:style>
  <w:style w:type="paragraph" w:customStyle="1" w:styleId="20">
    <w:name w:val="实施日期"/>
    <w:basedOn w:val="18"/>
    <w:qFormat/>
    <w:uiPriority w:val="0"/>
    <w:pPr>
      <w:framePr w:hSpace="0" w:wrap="around" w:xAlign="right"/>
      <w:jc w:val="right"/>
    </w:pPr>
  </w:style>
  <w:style w:type="paragraph" w:customStyle="1" w:styleId="21">
    <w:name w:val="其他发布部门"/>
    <w:basedOn w:val="22"/>
    <w:qFormat/>
    <w:uiPriority w:val="0"/>
    <w:pPr>
      <w:framePr w:wrap="around"/>
      <w:spacing w:line="0" w:lineRule="atLeast"/>
    </w:pPr>
    <w:rPr>
      <w:rFonts w:ascii="黑体" w:eastAsia="黑体"/>
      <w:b w:val="0"/>
    </w:rPr>
  </w:style>
  <w:style w:type="paragraph" w:customStyle="1" w:styleId="22">
    <w:name w:val="发布部门"/>
    <w:next w:val="13"/>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character" w:customStyle="1" w:styleId="23">
    <w:name w:val="发布"/>
    <w:basedOn w:val="7"/>
    <w:qFormat/>
    <w:uiPriority w:val="0"/>
    <w:rPr>
      <w:rFonts w:ascii="黑体" w:eastAsia="黑体"/>
      <w:spacing w:val="85"/>
      <w:w w:val="100"/>
      <w:position w:val="3"/>
      <w:sz w:val="28"/>
      <w:szCs w:val="28"/>
    </w:rPr>
  </w:style>
  <w:style w:type="paragraph" w:customStyle="1" w:styleId="24">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25">
    <w:name w:val="标准文件_前言、引言标题"/>
    <w:next w:val="1"/>
    <w:qFormat/>
    <w:uiPriority w:val="0"/>
    <w:pPr>
      <w:numPr>
        <w:ilvl w:val="0"/>
        <w:numId w:val="1"/>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26">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27">
    <w:name w:val="标准文件_章标题"/>
    <w:next w:val="13"/>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28">
    <w:name w:val="标准文件_术语条一"/>
    <w:basedOn w:val="29"/>
    <w:next w:val="13"/>
    <w:qFormat/>
    <w:uiPriority w:val="0"/>
  </w:style>
  <w:style w:type="paragraph" w:customStyle="1" w:styleId="29">
    <w:name w:val="标准文件_一级无标题"/>
    <w:basedOn w:val="30"/>
    <w:qFormat/>
    <w:uiPriority w:val="0"/>
    <w:pPr>
      <w:spacing w:before="0" w:beforeLines="0" w:after="0" w:afterLines="0"/>
      <w:outlineLvl w:val="9"/>
    </w:pPr>
    <w:rPr>
      <w:rFonts w:ascii="宋体" w:eastAsia="宋体"/>
    </w:rPr>
  </w:style>
  <w:style w:type="paragraph" w:customStyle="1" w:styleId="30">
    <w:name w:val="标准文件_一级条标题"/>
    <w:basedOn w:val="27"/>
    <w:next w:val="13"/>
    <w:qFormat/>
    <w:uiPriority w:val="0"/>
    <w:pPr>
      <w:numPr>
        <w:ilvl w:val="2"/>
      </w:numPr>
      <w:spacing w:before="50" w:beforeLines="50" w:after="50" w:afterLines="50"/>
      <w:outlineLvl w:val="1"/>
    </w:pPr>
  </w:style>
  <w:style w:type="paragraph" w:customStyle="1" w:styleId="31">
    <w:name w:val="标准文件_一级项"/>
    <w:qFormat/>
    <w:uiPriority w:val="0"/>
    <w:pPr>
      <w:numPr>
        <w:ilvl w:val="0"/>
        <w:numId w:val="3"/>
      </w:numPr>
    </w:pPr>
    <w:rPr>
      <w:rFonts w:ascii="宋体" w:hAnsi="Times New Roman" w:eastAsia="宋体" w:cs="Times New Roman"/>
      <w:sz w:val="21"/>
      <w:lang w:val="en-US" w:eastAsia="zh-CN" w:bidi="ar-SA"/>
    </w:rPr>
  </w:style>
  <w:style w:type="paragraph" w:customStyle="1" w:styleId="32">
    <w:name w:val="标准文件_正文图标题"/>
    <w:next w:val="13"/>
    <w:qFormat/>
    <w:uiPriority w:val="0"/>
    <w:pPr>
      <w:numPr>
        <w:ilvl w:val="0"/>
        <w:numId w:val="4"/>
      </w:numPr>
      <w:spacing w:before="50" w:beforeLines="50" w:after="50" w:afterLines="50"/>
      <w:jc w:val="center"/>
    </w:pPr>
    <w:rPr>
      <w:rFonts w:ascii="黑体" w:hAnsi="Times New Roman" w:eastAsia="黑体" w:cs="Times New Roman"/>
      <w:sz w:val="21"/>
      <w:lang w:val="en-US" w:eastAsia="zh-CN" w:bidi="ar-SA"/>
    </w:rPr>
  </w:style>
  <w:style w:type="paragraph" w:customStyle="1" w:styleId="33">
    <w:name w:val="标准文件_附录图标号"/>
    <w:basedOn w:val="13"/>
    <w:next w:val="13"/>
    <w:qFormat/>
    <w:uiPriority w:val="0"/>
    <w:pPr>
      <w:numPr>
        <w:ilvl w:val="0"/>
        <w:numId w:val="5"/>
      </w:numPr>
      <w:spacing w:line="14" w:lineRule="exact"/>
      <w:ind w:firstLine="0" w:firstLineChars="0"/>
      <w:jc w:val="center"/>
    </w:pPr>
    <w:rPr>
      <w:rFonts w:ascii="黑体" w:hAnsi="黑体" w:eastAsia="黑体"/>
      <w:vanish/>
      <w:sz w:val="2"/>
      <w:szCs w:val="21"/>
    </w:rPr>
  </w:style>
  <w:style w:type="paragraph" w:customStyle="1" w:styleId="34">
    <w:name w:val="标准文件_附录表标号"/>
    <w:basedOn w:val="13"/>
    <w:next w:val="13"/>
    <w:qFormat/>
    <w:uiPriority w:val="0"/>
    <w:pPr>
      <w:numPr>
        <w:ilvl w:val="0"/>
        <w:numId w:val="6"/>
      </w:numPr>
      <w:spacing w:line="14" w:lineRule="exact"/>
      <w:ind w:firstLine="0" w:firstLineChars="0"/>
      <w:jc w:val="center"/>
    </w:pPr>
    <w:rPr>
      <w:rFonts w:eastAsia="黑体"/>
      <w:vanish/>
      <w:sz w:val="2"/>
    </w:rPr>
  </w:style>
  <w:style w:type="paragraph" w:customStyle="1" w:styleId="35">
    <w:name w:val="标准文件_附录标识"/>
    <w:next w:val="13"/>
    <w:qFormat/>
    <w:uiPriority w:val="0"/>
    <w:pPr>
      <w:numPr>
        <w:ilvl w:val="0"/>
        <w:numId w:val="7"/>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36">
    <w:name w:val="标准文件_附录表标题"/>
    <w:next w:val="13"/>
    <w:qFormat/>
    <w:uiPriority w:val="0"/>
    <w:pPr>
      <w:numPr>
        <w:ilvl w:val="1"/>
        <w:numId w:val="6"/>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37">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38">
    <w:name w:val="标准文件_页眉偶数页"/>
    <w:basedOn w:val="37"/>
    <w:next w:val="1"/>
    <w:qFormat/>
    <w:uiPriority w:val="0"/>
    <w:pPr>
      <w:jc w:val="left"/>
    </w:pPr>
  </w:style>
  <w:style w:type="paragraph" w:customStyle="1" w:styleId="39">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40">
    <w:name w:val="标准文件_页脚偶数页"/>
    <w:qFormat/>
    <w:uiPriority w:val="0"/>
    <w:pPr>
      <w:ind w:left="198"/>
    </w:pPr>
    <w:rPr>
      <w:rFonts w:ascii="宋体"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glossaryDocument" Target="glossary/document.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2.jpeg"/><Relationship Id="rId27" Type="http://schemas.openxmlformats.org/officeDocument/2006/relationships/image" Target="media/image1.emf"/><Relationship Id="rId26" Type="http://schemas.openxmlformats.org/officeDocument/2006/relationships/package" Target="embeddings/Microsoft_Visio___1.vsdx"/><Relationship Id="rId25" Type="http://schemas.openxmlformats.org/officeDocument/2006/relationships/theme" Target="theme/theme1.xml"/><Relationship Id="rId24" Type="http://schemas.openxmlformats.org/officeDocument/2006/relationships/footer" Target="footer10.xml"/><Relationship Id="rId23" Type="http://schemas.openxmlformats.org/officeDocument/2006/relationships/footer" Target="footer9.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4f357d2-40ae-4b1c-9ba0-2ff197751186}"/>
        <w:style w:val=""/>
        <w:category>
          <w:name w:val="常规"/>
          <w:gallery w:val="placeholder"/>
        </w:category>
        <w:types>
          <w:type w:val="bbPlcHdr"/>
        </w:types>
        <w:behaviors>
          <w:behavior w:val="content"/>
        </w:behaviors>
        <w:description w:val=""/>
        <w:guid w:val="{74f357d2-40ae-4b1c-9ba0-2ff197751186}"/>
      </w:docPartPr>
      <w:docPartBody>
        <w:p w14:paraId="03CAA3CA">
          <w:pPr>
            <w:pStyle w:val="2"/>
          </w:pPr>
          <w:r>
            <w:rPr>
              <w:rStyle w:val="3"/>
              <w:rFonts w:hint="eastAsia"/>
            </w:rPr>
            <w:t>单击或点击此处输入文字。</w:t>
          </w:r>
        </w:p>
      </w:docPartBody>
    </w:docPart>
    <w:docPart>
      <w:docPartPr>
        <w:name w:val="{0633fdd6-5914-4f61-9953-585f245e5fd5}"/>
        <w:style w:val=""/>
        <w:category>
          <w:name w:val="常规"/>
          <w:gallery w:val="placeholder"/>
        </w:category>
        <w:types>
          <w:type w:val="bbPlcHdr"/>
        </w:types>
        <w:behaviors>
          <w:behavior w:val="content"/>
        </w:behaviors>
        <w:description w:val=""/>
        <w:guid w:val="{0633fdd6-5914-4f61-9953-585f245e5fd5}"/>
      </w:docPartPr>
      <w:docPartBody>
        <w:p w14:paraId="3001C6C0">
          <w:pPr>
            <w:pStyle w:val="4"/>
          </w:pPr>
          <w:r>
            <w:rPr>
              <w:rStyle w:val="3"/>
              <w:rFonts w:hint="eastAsia"/>
            </w:rPr>
            <w:t>选择一项。</w:t>
          </w:r>
        </w:p>
      </w:docPartBody>
    </w:docPart>
    <w:docPart>
      <w:docPartPr>
        <w:name w:val="{9c7a59e1-bf21-4b7e-8eb2-269ec487f11d}"/>
        <w:style w:val=""/>
        <w:category>
          <w:name w:val="常规"/>
          <w:gallery w:val="placeholder"/>
        </w:category>
        <w:types>
          <w:type w:val="bbPlcHdr"/>
        </w:types>
        <w:behaviors>
          <w:behavior w:val="content"/>
        </w:behaviors>
        <w:description w:val=""/>
        <w:guid w:val="{9c7a59e1-bf21-4b7e-8eb2-269ec487f11d}"/>
      </w:docPartPr>
      <w:docPartBody>
        <w:p w14:paraId="4A52B0D2">
          <w:pPr>
            <w:pStyle w:val="5"/>
          </w:pPr>
          <w:r>
            <w:rPr>
              <w:rStyle w:val="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1" w:name="Default Paragraph Font"/>
    <w:lsdException w:qFormat="1" w:unhideWhenUsed="0" w:uiPriority="99" w:name="Placeholder Text"/>
  </w:latentStyles>
  <w:style w:type="character" w:default="1" w:styleId="1">
    <w:name w:val="Default Paragraph Font"/>
    <w:semiHidden/>
    <w:unhideWhenUsed/>
    <w:uiPriority w:val="1"/>
  </w:style>
  <w:style w:type="paragraph" w:customStyle="1" w:styleId="2">
    <w:name w:val="5ACD0FED3A8E429CAB58A7A99F793466"/>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3">
    <w:name w:val="Placeholder Text"/>
    <w:basedOn w:val="1"/>
    <w:semiHidden/>
    <w:qFormat/>
    <w:uiPriority w:val="99"/>
    <w:rPr>
      <w:color w:val="808080"/>
    </w:rPr>
  </w:style>
  <w:style w:type="paragraph" w:customStyle="1" w:styleId="4">
    <w:name w:val="09011606E314484F9C16BD70380308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ED8E72EA2727449EA6371C7053CA00F1"/>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2026-11-03T20:04:00Z</dcterms:created>
  <dc:creator>sasa</dc:creator>
  <cp:lastModifiedBy>sasa</cp:lastModifiedBy>
  <dcterms:modified xsi:type="dcterms:W3CDTF">2026-11-03T20:05:39Z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ICV">
    <vt:lpwstr>B0DE4CAD1A346D40CCBFE96A173E4E8C_41</vt:lpwstr>
  </property>
</Properties>
</file>