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B2BA7">
      <w:pPr>
        <w:rPr>
          <w:rFonts w:hint="eastAsia" w:ascii="黑体" w:eastAsia="黑体"/>
          <w:b/>
          <w:color w:val="000000"/>
          <w:sz w:val="30"/>
          <w:szCs w:val="30"/>
        </w:rPr>
      </w:pPr>
      <w:r>
        <w:rPr>
          <w:rFonts w:hint="eastAsia" w:ascii="黑体" w:eastAsia="黑体"/>
          <w:snapToGrid w:val="0"/>
          <w:color w:val="000000"/>
          <w:kern w:val="0"/>
          <w:sz w:val="32"/>
          <w:szCs w:val="32"/>
        </w:rPr>
        <w:t>附件7</w:t>
      </w:r>
    </w:p>
    <w:p w14:paraId="101FCB3B">
      <w:pPr>
        <w:autoSpaceDE w:val="0"/>
        <w:autoSpaceDN w:val="0"/>
        <w:adjustRightInd w:val="0"/>
        <w:jc w:val="center"/>
        <w:rPr>
          <w:rFonts w:hint="eastAsia" w:ascii="楷体_GB2312" w:eastAsia="楷体_GB2312"/>
          <w:color w:val="000000"/>
          <w:sz w:val="32"/>
          <w:szCs w:val="32"/>
        </w:rPr>
      </w:pPr>
      <w:r>
        <w:rPr>
          <w:rFonts w:hint="eastAsia" w:ascii="方正小标宋简体" w:eastAsia="方正小标宋简体"/>
          <w:sz w:val="44"/>
          <w:szCs w:val="44"/>
        </w:rPr>
        <w:t>认证认可</w:t>
      </w:r>
      <w:r>
        <w:rPr>
          <w:rFonts w:ascii="方正小标宋简体" w:eastAsia="方正小标宋简体"/>
          <w:sz w:val="44"/>
          <w:szCs w:val="44"/>
        </w:rPr>
        <w:t>行业标准草案编制说明</w:t>
      </w:r>
    </w:p>
    <w:tbl>
      <w:tblPr>
        <w:tblStyle w:val="2"/>
        <w:tblpPr w:leftFromText="180" w:rightFromText="180" w:vertAnchor="text" w:horzAnchor="margin" w:tblpXSpec="center" w:tblpY="169"/>
        <w:tblW w:w="938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1384"/>
        <w:gridCol w:w="1155"/>
        <w:gridCol w:w="1635"/>
        <w:gridCol w:w="1260"/>
        <w:gridCol w:w="2156"/>
      </w:tblGrid>
      <w:tr w14:paraId="69DC0C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68" w:hRule="atLeast"/>
        </w:trPr>
        <w:tc>
          <w:tcPr>
            <w:tcW w:w="9384" w:type="dxa"/>
            <w:gridSpan w:val="6"/>
            <w:tcBorders>
              <w:top w:val="nil"/>
              <w:left w:val="nil"/>
              <w:bottom w:val="nil"/>
              <w:right w:val="nil"/>
            </w:tcBorders>
            <w:vAlign w:val="center"/>
          </w:tcPr>
          <w:p w14:paraId="3DD25134">
            <w:pPr>
              <w:rPr>
                <w:rFonts w:ascii="宋体" w:hAnsi="宋体"/>
                <w:b/>
                <w:color w:val="000000"/>
                <w:szCs w:val="21"/>
              </w:rPr>
            </w:pPr>
            <w:r>
              <w:rPr>
                <w:rFonts w:hint="eastAsia" w:ascii="宋体" w:hAnsi="宋体"/>
                <w:b/>
                <w:color w:val="000000"/>
                <w:szCs w:val="21"/>
              </w:rPr>
              <w:t>1、基本信息</w:t>
            </w:r>
          </w:p>
        </w:tc>
      </w:tr>
      <w:tr w14:paraId="5B33E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8" w:hRule="atLeast"/>
        </w:trPr>
        <w:tc>
          <w:tcPr>
            <w:tcW w:w="1794" w:type="dxa"/>
            <w:vMerge w:val="restart"/>
            <w:tcBorders>
              <w:top w:val="single" w:color="auto" w:sz="4" w:space="0"/>
              <w:left w:val="single" w:color="auto" w:sz="4" w:space="0"/>
              <w:bottom w:val="single" w:color="auto" w:sz="4" w:space="0"/>
              <w:right w:val="single" w:color="auto" w:sz="4" w:space="0"/>
            </w:tcBorders>
            <w:vAlign w:val="center"/>
          </w:tcPr>
          <w:p w14:paraId="5C356208">
            <w:pPr>
              <w:ind w:left="141" w:leftChars="67" w:right="176" w:rightChars="84"/>
              <w:rPr>
                <w:rFonts w:ascii="宋体" w:hAnsi="宋体"/>
                <w:color w:val="000000"/>
                <w:szCs w:val="21"/>
              </w:rPr>
            </w:pPr>
            <w:r>
              <w:rPr>
                <w:rFonts w:ascii="宋体" w:hAnsi="宋体"/>
                <w:color w:val="000000"/>
                <w:szCs w:val="21"/>
              </w:rPr>
              <w:t>1.1 标准草案名称</w:t>
            </w:r>
          </w:p>
        </w:tc>
        <w:tc>
          <w:tcPr>
            <w:tcW w:w="1384" w:type="dxa"/>
            <w:tcBorders>
              <w:top w:val="single" w:color="auto" w:sz="4" w:space="0"/>
              <w:left w:val="single" w:color="auto" w:sz="4" w:space="0"/>
              <w:bottom w:val="single" w:color="auto" w:sz="4" w:space="0"/>
              <w:right w:val="single" w:color="auto" w:sz="4" w:space="0"/>
            </w:tcBorders>
            <w:vAlign w:val="center"/>
          </w:tcPr>
          <w:p w14:paraId="1D642221">
            <w:pPr>
              <w:jc w:val="center"/>
              <w:rPr>
                <w:rFonts w:ascii="宋体" w:hAnsi="宋体"/>
                <w:color w:val="000000"/>
                <w:szCs w:val="21"/>
              </w:rPr>
            </w:pPr>
            <w:r>
              <w:rPr>
                <w:rFonts w:ascii="宋体" w:hAnsi="宋体"/>
                <w:color w:val="000000"/>
                <w:szCs w:val="21"/>
              </w:rPr>
              <w:t>中文</w:t>
            </w:r>
          </w:p>
        </w:tc>
        <w:tc>
          <w:tcPr>
            <w:tcW w:w="6206" w:type="dxa"/>
            <w:gridSpan w:val="4"/>
            <w:tcBorders>
              <w:top w:val="single" w:color="auto" w:sz="4" w:space="0"/>
              <w:left w:val="single" w:color="auto" w:sz="4" w:space="0"/>
              <w:bottom w:val="single" w:color="auto" w:sz="4" w:space="0"/>
              <w:right w:val="single" w:color="auto" w:sz="4" w:space="0"/>
            </w:tcBorders>
            <w:vAlign w:val="center"/>
          </w:tcPr>
          <w:p w14:paraId="50E23DA6">
            <w:pPr>
              <w:rPr>
                <w:rFonts w:hint="eastAsia" w:ascii="宋体" w:hAnsi="宋体"/>
                <w:color w:val="000000"/>
                <w:szCs w:val="21"/>
              </w:rPr>
            </w:pPr>
            <w:r>
              <w:rPr>
                <w:rFonts w:hint="eastAsia" w:ascii="宋体" w:hAnsi="宋体"/>
                <w:color w:val="000000"/>
                <w:szCs w:val="21"/>
              </w:rPr>
              <w:t>司法鉴定/法庭科学能力验证实施指南</w:t>
            </w:r>
          </w:p>
          <w:p w14:paraId="4CCDDD39">
            <w:pPr>
              <w:rPr>
                <w:rFonts w:ascii="宋体" w:hAnsi="宋体"/>
                <w:color w:val="000000"/>
                <w:szCs w:val="21"/>
              </w:rPr>
            </w:pPr>
            <w:r>
              <w:rPr>
                <w:rFonts w:hint="eastAsia" w:ascii="宋体" w:hAnsi="宋体"/>
                <w:color w:val="000000"/>
                <w:szCs w:val="21"/>
              </w:rPr>
              <w:t>第8部分：法医物证鉴定</w:t>
            </w:r>
          </w:p>
        </w:tc>
      </w:tr>
      <w:tr w14:paraId="59BE7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48" w:hRule="atLeast"/>
        </w:trPr>
        <w:tc>
          <w:tcPr>
            <w:tcW w:w="1794" w:type="dxa"/>
            <w:vMerge w:val="continue"/>
            <w:tcBorders>
              <w:top w:val="single" w:color="auto" w:sz="4" w:space="0"/>
              <w:left w:val="single" w:color="auto" w:sz="4" w:space="0"/>
              <w:bottom w:val="single" w:color="auto" w:sz="4" w:space="0"/>
              <w:right w:val="single" w:color="auto" w:sz="4" w:space="0"/>
            </w:tcBorders>
            <w:vAlign w:val="center"/>
          </w:tcPr>
          <w:p w14:paraId="17640D4A">
            <w:pPr>
              <w:ind w:left="141" w:leftChars="67" w:right="176" w:rightChars="84"/>
              <w:jc w:val="center"/>
              <w:rPr>
                <w:rFonts w:ascii="宋体" w:hAnsi="宋体"/>
                <w:color w:val="000000"/>
                <w:szCs w:val="21"/>
              </w:rPr>
            </w:pPr>
          </w:p>
        </w:tc>
        <w:tc>
          <w:tcPr>
            <w:tcW w:w="1384" w:type="dxa"/>
            <w:tcBorders>
              <w:top w:val="single" w:color="auto" w:sz="4" w:space="0"/>
              <w:left w:val="single" w:color="auto" w:sz="4" w:space="0"/>
              <w:bottom w:val="single" w:color="auto" w:sz="6" w:space="0"/>
              <w:right w:val="single" w:color="auto" w:sz="4" w:space="0"/>
            </w:tcBorders>
            <w:vAlign w:val="center"/>
          </w:tcPr>
          <w:p w14:paraId="1AE14A97">
            <w:pPr>
              <w:jc w:val="center"/>
              <w:rPr>
                <w:rFonts w:ascii="宋体" w:hAnsi="宋体"/>
                <w:color w:val="000000"/>
                <w:szCs w:val="21"/>
              </w:rPr>
            </w:pPr>
            <w:r>
              <w:rPr>
                <w:rFonts w:ascii="宋体" w:hAnsi="宋体"/>
                <w:color w:val="000000"/>
                <w:szCs w:val="21"/>
              </w:rPr>
              <w:t>英文</w:t>
            </w:r>
          </w:p>
        </w:tc>
        <w:tc>
          <w:tcPr>
            <w:tcW w:w="6206" w:type="dxa"/>
            <w:gridSpan w:val="4"/>
            <w:tcBorders>
              <w:top w:val="single" w:color="auto" w:sz="4" w:space="0"/>
              <w:left w:val="single" w:color="auto" w:sz="4" w:space="0"/>
              <w:bottom w:val="single" w:color="auto" w:sz="4" w:space="0"/>
            </w:tcBorders>
            <w:vAlign w:val="center"/>
          </w:tcPr>
          <w:p w14:paraId="30078AA9">
            <w:pPr>
              <w:rPr>
                <w:rFonts w:hint="eastAsia" w:ascii="宋体" w:hAnsi="宋体"/>
                <w:color w:val="000000"/>
                <w:szCs w:val="21"/>
              </w:rPr>
            </w:pPr>
            <w:r>
              <w:rPr>
                <w:rFonts w:hint="eastAsia" w:ascii="宋体" w:hAnsi="宋体"/>
                <w:color w:val="000000"/>
                <w:szCs w:val="21"/>
              </w:rPr>
              <w:t xml:space="preserve">Guidance on the implementation of proficiency testing in forensic science </w:t>
            </w:r>
          </w:p>
          <w:p w14:paraId="0CA49D2B">
            <w:pPr>
              <w:rPr>
                <w:rFonts w:ascii="宋体" w:hAnsi="宋体"/>
                <w:color w:val="000000"/>
                <w:szCs w:val="21"/>
              </w:rPr>
            </w:pPr>
            <w:r>
              <w:rPr>
                <w:rFonts w:hint="eastAsia" w:ascii="宋体" w:hAnsi="宋体"/>
                <w:color w:val="000000"/>
                <w:szCs w:val="21"/>
              </w:rPr>
              <w:t xml:space="preserve"> —Part 8: Forensic Biological Evidence Identification</w:t>
            </w:r>
          </w:p>
        </w:tc>
      </w:tr>
      <w:tr w14:paraId="376BA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3" w:hRule="atLeast"/>
        </w:trPr>
        <w:tc>
          <w:tcPr>
            <w:tcW w:w="1794" w:type="dxa"/>
            <w:vMerge w:val="restart"/>
            <w:tcBorders>
              <w:right w:val="single" w:color="auto" w:sz="4" w:space="0"/>
            </w:tcBorders>
            <w:vAlign w:val="center"/>
          </w:tcPr>
          <w:p w14:paraId="6C6FEC75">
            <w:pPr>
              <w:ind w:left="141" w:leftChars="67" w:right="176" w:rightChars="84"/>
              <w:rPr>
                <w:rFonts w:ascii="宋体" w:hAnsi="宋体"/>
                <w:color w:val="000000"/>
                <w:szCs w:val="21"/>
              </w:rPr>
            </w:pPr>
            <w:r>
              <w:rPr>
                <w:rFonts w:ascii="宋体" w:hAnsi="宋体"/>
                <w:color w:val="000000"/>
                <w:szCs w:val="21"/>
              </w:rPr>
              <w:t>1.2 与国际标准和国外先进标准一致</w:t>
            </w:r>
            <w:r>
              <w:rPr>
                <w:rFonts w:hint="eastAsia" w:ascii="宋体" w:hAnsi="宋体"/>
                <w:color w:val="000000"/>
                <w:szCs w:val="21"/>
              </w:rPr>
              <w:t>性</w:t>
            </w:r>
            <w:r>
              <w:rPr>
                <w:rFonts w:ascii="宋体" w:hAnsi="宋体"/>
                <w:color w:val="000000"/>
                <w:szCs w:val="21"/>
              </w:rPr>
              <w:t>程度情况</w:t>
            </w:r>
          </w:p>
        </w:tc>
        <w:tc>
          <w:tcPr>
            <w:tcW w:w="1384" w:type="dxa"/>
            <w:vMerge w:val="restart"/>
            <w:tcBorders>
              <w:left w:val="single" w:color="auto" w:sz="4" w:space="0"/>
              <w:right w:val="single" w:color="auto" w:sz="4" w:space="0"/>
            </w:tcBorders>
            <w:vAlign w:val="center"/>
          </w:tcPr>
          <w:p w14:paraId="6D355D15">
            <w:pPr>
              <w:rPr>
                <w:rFonts w:ascii="宋体" w:hAnsi="宋体"/>
                <w:color w:val="000000"/>
                <w:szCs w:val="21"/>
              </w:rPr>
            </w:pPr>
            <w:r>
              <w:rPr>
                <w:rFonts w:ascii="宋体" w:hAnsi="宋体"/>
                <w:color w:val="000000"/>
                <w:szCs w:val="21"/>
              </w:rPr>
              <w:t>□等同</w:t>
            </w:r>
            <w:r>
              <w:rPr>
                <w:rFonts w:hint="eastAsia" w:ascii="宋体" w:hAnsi="宋体"/>
                <w:color w:val="000000"/>
                <w:szCs w:val="21"/>
              </w:rPr>
              <w:t>采用</w:t>
            </w:r>
          </w:p>
          <w:p w14:paraId="3ADEE824">
            <w:pPr>
              <w:rPr>
                <w:rFonts w:ascii="宋体" w:hAnsi="宋体"/>
                <w:color w:val="000000"/>
                <w:szCs w:val="21"/>
              </w:rPr>
            </w:pPr>
            <w:r>
              <w:rPr>
                <w:rFonts w:ascii="宋体" w:hAnsi="宋体"/>
                <w:color w:val="000000"/>
                <w:szCs w:val="21"/>
              </w:rPr>
              <w:t>□修改</w:t>
            </w:r>
            <w:r>
              <w:rPr>
                <w:rFonts w:hint="eastAsia" w:ascii="宋体" w:hAnsi="宋体"/>
                <w:color w:val="000000"/>
                <w:szCs w:val="21"/>
              </w:rPr>
              <w:t>采用</w:t>
            </w:r>
          </w:p>
          <w:p w14:paraId="0E056950">
            <w:pPr>
              <w:rPr>
                <w:rFonts w:ascii="宋体" w:hAnsi="宋体"/>
                <w:color w:val="000000"/>
                <w:szCs w:val="21"/>
              </w:rPr>
            </w:pPr>
            <w:r>
              <w:rPr>
                <w:rFonts w:ascii="宋体" w:hAnsi="宋体"/>
                <w:color w:val="000000"/>
                <w:szCs w:val="21"/>
              </w:rPr>
              <w:t>□非等效</w:t>
            </w:r>
            <w:r>
              <w:rPr>
                <w:rFonts w:hint="eastAsia" w:ascii="宋体" w:hAnsi="宋体"/>
                <w:color w:val="000000"/>
                <w:szCs w:val="21"/>
              </w:rPr>
              <w:t>采用</w:t>
            </w:r>
          </w:p>
          <w:p w14:paraId="498F4A1E">
            <w:pPr>
              <w:rPr>
                <w:rFonts w:ascii="宋体" w:hAnsi="宋体"/>
                <w:color w:val="000000"/>
                <w:szCs w:val="21"/>
              </w:rPr>
            </w:pPr>
            <w:r>
              <w:rPr>
                <w:rFonts w:hint="eastAsia" w:ascii="宋体" w:hAnsi="宋体"/>
                <w:color w:val="000000"/>
                <w:szCs w:val="21"/>
                <w:lang w:eastAsia="zh-CN"/>
              </w:rPr>
              <w:t>☑</w:t>
            </w:r>
            <w:r>
              <w:rPr>
                <w:rFonts w:hint="eastAsia" w:ascii="宋体" w:hAnsi="宋体"/>
                <w:color w:val="000000"/>
                <w:szCs w:val="21"/>
              </w:rPr>
              <w:t>未采用</w:t>
            </w:r>
          </w:p>
        </w:tc>
        <w:tc>
          <w:tcPr>
            <w:tcW w:w="1155" w:type="dxa"/>
            <w:tcBorders>
              <w:left w:val="single" w:color="auto" w:sz="4" w:space="0"/>
              <w:bottom w:val="single" w:color="auto" w:sz="4" w:space="0"/>
              <w:right w:val="single" w:color="auto" w:sz="4" w:space="0"/>
            </w:tcBorders>
            <w:vAlign w:val="center"/>
          </w:tcPr>
          <w:p w14:paraId="0FC8B469">
            <w:pPr>
              <w:jc w:val="center"/>
              <w:rPr>
                <w:rFonts w:ascii="宋体" w:hAnsi="宋体"/>
                <w:color w:val="000000"/>
                <w:szCs w:val="21"/>
              </w:rPr>
            </w:pPr>
            <w:r>
              <w:rPr>
                <w:rFonts w:ascii="宋体" w:hAnsi="宋体"/>
                <w:color w:val="000000"/>
                <w:szCs w:val="21"/>
              </w:rPr>
              <w:t>标准</w:t>
            </w:r>
            <w:r>
              <w:rPr>
                <w:rFonts w:hint="eastAsia" w:ascii="宋体" w:hAnsi="宋体"/>
                <w:color w:val="000000"/>
                <w:szCs w:val="21"/>
              </w:rPr>
              <w:t>编</w:t>
            </w:r>
            <w:r>
              <w:rPr>
                <w:rFonts w:ascii="宋体" w:hAnsi="宋体"/>
                <w:color w:val="000000"/>
                <w:szCs w:val="21"/>
              </w:rPr>
              <w:t>号</w:t>
            </w:r>
          </w:p>
        </w:tc>
        <w:tc>
          <w:tcPr>
            <w:tcW w:w="5051" w:type="dxa"/>
            <w:gridSpan w:val="3"/>
            <w:tcBorders>
              <w:left w:val="single" w:color="auto" w:sz="4" w:space="0"/>
              <w:bottom w:val="single" w:color="auto" w:sz="4" w:space="0"/>
            </w:tcBorders>
            <w:vAlign w:val="center"/>
          </w:tcPr>
          <w:p w14:paraId="6EEBC7FC">
            <w:pPr>
              <w:rPr>
                <w:rFonts w:ascii="宋体" w:hAnsi="宋体"/>
                <w:color w:val="000000"/>
                <w:szCs w:val="21"/>
              </w:rPr>
            </w:pPr>
          </w:p>
        </w:tc>
      </w:tr>
      <w:tr w14:paraId="2AC50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59" w:hRule="atLeast"/>
        </w:trPr>
        <w:tc>
          <w:tcPr>
            <w:tcW w:w="1794" w:type="dxa"/>
            <w:vMerge w:val="continue"/>
            <w:tcBorders>
              <w:right w:val="single" w:color="auto" w:sz="4" w:space="0"/>
            </w:tcBorders>
            <w:vAlign w:val="center"/>
          </w:tcPr>
          <w:p w14:paraId="6BF7D659">
            <w:pPr>
              <w:ind w:left="141" w:leftChars="67" w:right="176" w:rightChars="84"/>
              <w:jc w:val="center"/>
              <w:rPr>
                <w:rFonts w:ascii="宋体" w:hAnsi="宋体"/>
                <w:color w:val="000000"/>
                <w:szCs w:val="21"/>
              </w:rPr>
            </w:pPr>
          </w:p>
        </w:tc>
        <w:tc>
          <w:tcPr>
            <w:tcW w:w="1384" w:type="dxa"/>
            <w:vMerge w:val="continue"/>
            <w:tcBorders>
              <w:left w:val="single" w:color="auto" w:sz="4" w:space="0"/>
              <w:right w:val="single" w:color="auto" w:sz="4" w:space="0"/>
            </w:tcBorders>
            <w:vAlign w:val="center"/>
          </w:tcPr>
          <w:p w14:paraId="050955D2">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82CA095">
            <w:pPr>
              <w:jc w:val="center"/>
              <w:rPr>
                <w:rFonts w:ascii="宋体" w:hAnsi="宋体"/>
                <w:color w:val="000000"/>
                <w:szCs w:val="21"/>
              </w:rPr>
            </w:pPr>
            <w:r>
              <w:rPr>
                <w:rFonts w:ascii="宋体" w:hAnsi="宋体"/>
                <w:color w:val="000000"/>
                <w:szCs w:val="21"/>
              </w:rPr>
              <w:t>英文名称</w:t>
            </w:r>
          </w:p>
        </w:tc>
        <w:tc>
          <w:tcPr>
            <w:tcW w:w="5051" w:type="dxa"/>
            <w:gridSpan w:val="3"/>
            <w:tcBorders>
              <w:top w:val="single" w:color="auto" w:sz="4" w:space="0"/>
              <w:left w:val="single" w:color="auto" w:sz="4" w:space="0"/>
              <w:bottom w:val="single" w:color="auto" w:sz="4" w:space="0"/>
            </w:tcBorders>
            <w:vAlign w:val="center"/>
          </w:tcPr>
          <w:p w14:paraId="14565ABB">
            <w:pPr>
              <w:rPr>
                <w:rFonts w:ascii="宋体" w:hAnsi="宋体"/>
                <w:color w:val="000000"/>
                <w:szCs w:val="21"/>
              </w:rPr>
            </w:pPr>
          </w:p>
        </w:tc>
      </w:tr>
      <w:tr w14:paraId="1122A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4" w:hRule="atLeast"/>
        </w:trPr>
        <w:tc>
          <w:tcPr>
            <w:tcW w:w="1794" w:type="dxa"/>
            <w:vMerge w:val="continue"/>
            <w:tcBorders>
              <w:right w:val="single" w:color="auto" w:sz="4" w:space="0"/>
            </w:tcBorders>
            <w:vAlign w:val="center"/>
          </w:tcPr>
          <w:p w14:paraId="4912DCE2">
            <w:pPr>
              <w:ind w:left="141" w:leftChars="67" w:right="176" w:rightChars="84"/>
              <w:jc w:val="center"/>
              <w:rPr>
                <w:rFonts w:ascii="宋体" w:hAnsi="宋体"/>
                <w:color w:val="000000"/>
                <w:szCs w:val="21"/>
              </w:rPr>
            </w:pPr>
          </w:p>
        </w:tc>
        <w:tc>
          <w:tcPr>
            <w:tcW w:w="1384" w:type="dxa"/>
            <w:vMerge w:val="continue"/>
            <w:tcBorders>
              <w:left w:val="single" w:color="auto" w:sz="4" w:space="0"/>
              <w:bottom w:val="single" w:color="auto" w:sz="4" w:space="0"/>
              <w:right w:val="single" w:color="auto" w:sz="4" w:space="0"/>
            </w:tcBorders>
            <w:vAlign w:val="center"/>
          </w:tcPr>
          <w:p w14:paraId="7020FF69">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9DB63FD">
            <w:pPr>
              <w:jc w:val="center"/>
              <w:rPr>
                <w:rFonts w:ascii="宋体" w:hAnsi="宋体"/>
                <w:color w:val="000000"/>
                <w:szCs w:val="21"/>
              </w:rPr>
            </w:pPr>
            <w:r>
              <w:rPr>
                <w:rFonts w:ascii="宋体" w:hAnsi="宋体"/>
                <w:color w:val="000000"/>
                <w:szCs w:val="21"/>
              </w:rPr>
              <w:t>中文名称</w:t>
            </w:r>
          </w:p>
        </w:tc>
        <w:tc>
          <w:tcPr>
            <w:tcW w:w="5051" w:type="dxa"/>
            <w:gridSpan w:val="3"/>
            <w:tcBorders>
              <w:top w:val="single" w:color="auto" w:sz="4" w:space="0"/>
              <w:left w:val="single" w:color="auto" w:sz="4" w:space="0"/>
              <w:bottom w:val="single" w:color="auto" w:sz="4" w:space="0"/>
            </w:tcBorders>
            <w:vAlign w:val="center"/>
          </w:tcPr>
          <w:p w14:paraId="1D55463A">
            <w:pPr>
              <w:rPr>
                <w:rFonts w:ascii="宋体" w:hAnsi="宋体"/>
                <w:color w:val="000000"/>
                <w:szCs w:val="21"/>
              </w:rPr>
            </w:pPr>
          </w:p>
        </w:tc>
      </w:tr>
      <w:tr w14:paraId="65C7A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trPr>
        <w:tc>
          <w:tcPr>
            <w:tcW w:w="1794" w:type="dxa"/>
            <w:tcBorders>
              <w:right w:val="single" w:color="auto" w:sz="4" w:space="0"/>
            </w:tcBorders>
            <w:vAlign w:val="center"/>
          </w:tcPr>
          <w:p w14:paraId="4FE654DF">
            <w:pPr>
              <w:ind w:left="141" w:leftChars="67" w:right="176" w:rightChars="84"/>
              <w:rPr>
                <w:rFonts w:ascii="宋体" w:hAnsi="宋体"/>
                <w:color w:val="000000"/>
                <w:szCs w:val="21"/>
              </w:rPr>
            </w:pPr>
            <w:r>
              <w:rPr>
                <w:rFonts w:ascii="宋体" w:hAnsi="宋体"/>
                <w:color w:val="000000"/>
                <w:szCs w:val="21"/>
              </w:rPr>
              <w:t>1.3 任务来源</w:t>
            </w:r>
          </w:p>
        </w:tc>
        <w:tc>
          <w:tcPr>
            <w:tcW w:w="1384" w:type="dxa"/>
            <w:tcBorders>
              <w:left w:val="single" w:color="auto" w:sz="4" w:space="0"/>
              <w:bottom w:val="single" w:color="auto" w:sz="4" w:space="0"/>
              <w:right w:val="single" w:color="auto" w:sz="4" w:space="0"/>
            </w:tcBorders>
            <w:vAlign w:val="center"/>
          </w:tcPr>
          <w:p w14:paraId="7E06DB8C">
            <w:pPr>
              <w:jc w:val="center"/>
              <w:rPr>
                <w:rFonts w:ascii="宋体" w:hAnsi="宋体"/>
                <w:color w:val="000000"/>
                <w:szCs w:val="21"/>
              </w:rPr>
            </w:pPr>
            <w:r>
              <w:rPr>
                <w:rFonts w:ascii="宋体" w:hAnsi="宋体"/>
                <w:color w:val="000000"/>
                <w:szCs w:val="21"/>
              </w:rPr>
              <w:t>批准立项的文件名称和文件号</w:t>
            </w:r>
          </w:p>
        </w:tc>
        <w:tc>
          <w:tcPr>
            <w:tcW w:w="2790" w:type="dxa"/>
            <w:gridSpan w:val="2"/>
            <w:tcBorders>
              <w:left w:val="single" w:color="auto" w:sz="4" w:space="0"/>
              <w:bottom w:val="single" w:color="auto" w:sz="4" w:space="0"/>
              <w:right w:val="single" w:color="auto" w:sz="4" w:space="0"/>
            </w:tcBorders>
            <w:vAlign w:val="center"/>
          </w:tcPr>
          <w:p w14:paraId="1DC4DD91">
            <w:pPr>
              <w:rPr>
                <w:rFonts w:ascii="宋体" w:hAnsi="宋体"/>
                <w:color w:val="000000"/>
                <w:szCs w:val="21"/>
              </w:rPr>
            </w:pPr>
            <w:r>
              <w:rPr>
                <w:rFonts w:ascii="宋体" w:hAnsi="宋体"/>
                <w:color w:val="000000"/>
                <w:szCs w:val="21"/>
              </w:rPr>
              <w:t>国认科</w:t>
            </w:r>
            <w:r>
              <w:rPr>
                <w:rFonts w:hint="eastAsia" w:ascii="宋体" w:hAnsi="宋体"/>
                <w:color w:val="000000"/>
                <w:szCs w:val="21"/>
              </w:rPr>
              <w:t>〔</w:t>
            </w:r>
            <w:r>
              <w:rPr>
                <w:rFonts w:hint="default" w:ascii="宋体" w:hAnsi="宋体"/>
                <w:color w:val="000000"/>
                <w:szCs w:val="21"/>
              </w:rPr>
              <w:t>2018</w:t>
            </w:r>
            <w:r>
              <w:rPr>
                <w:rFonts w:hint="eastAsia" w:ascii="宋体" w:hAnsi="宋体"/>
                <w:color w:val="000000"/>
                <w:szCs w:val="21"/>
              </w:rPr>
              <w:t>〕</w:t>
            </w:r>
            <w:r>
              <w:rPr>
                <w:rFonts w:ascii="宋体" w:hAnsi="宋体"/>
                <w:color w:val="000000"/>
                <w:szCs w:val="21"/>
              </w:rPr>
              <w:t>15</w:t>
            </w:r>
            <w:r>
              <w:rPr>
                <w:rFonts w:hint="eastAsia" w:ascii="宋体" w:hAnsi="宋体"/>
                <w:color w:val="000000"/>
                <w:szCs w:val="21"/>
              </w:rPr>
              <w:t>号</w:t>
            </w:r>
          </w:p>
        </w:tc>
        <w:tc>
          <w:tcPr>
            <w:tcW w:w="1260" w:type="dxa"/>
            <w:tcBorders>
              <w:left w:val="single" w:color="auto" w:sz="4" w:space="0"/>
              <w:bottom w:val="single" w:color="auto" w:sz="4" w:space="0"/>
              <w:right w:val="single" w:color="auto" w:sz="4" w:space="0"/>
            </w:tcBorders>
            <w:vAlign w:val="center"/>
          </w:tcPr>
          <w:p w14:paraId="59394A4D">
            <w:pPr>
              <w:jc w:val="center"/>
              <w:rPr>
                <w:rFonts w:ascii="宋体" w:hAnsi="宋体"/>
                <w:color w:val="000000"/>
                <w:szCs w:val="21"/>
              </w:rPr>
            </w:pPr>
            <w:r>
              <w:rPr>
                <w:rFonts w:ascii="宋体" w:hAnsi="宋体"/>
                <w:color w:val="000000"/>
                <w:szCs w:val="21"/>
              </w:rPr>
              <w:t>计划编号</w:t>
            </w:r>
          </w:p>
        </w:tc>
        <w:tc>
          <w:tcPr>
            <w:tcW w:w="2156" w:type="dxa"/>
            <w:tcBorders>
              <w:left w:val="single" w:color="auto" w:sz="4" w:space="0"/>
              <w:bottom w:val="single" w:color="auto" w:sz="4" w:space="0"/>
            </w:tcBorders>
            <w:vAlign w:val="center"/>
          </w:tcPr>
          <w:p w14:paraId="1F7BCD8C">
            <w:pPr>
              <w:rPr>
                <w:rFonts w:ascii="宋体" w:hAnsi="宋体"/>
                <w:color w:val="000000"/>
                <w:szCs w:val="21"/>
              </w:rPr>
            </w:pPr>
            <w:r>
              <w:rPr>
                <w:rFonts w:ascii="宋体" w:hAnsi="宋体"/>
                <w:color w:val="000000"/>
                <w:szCs w:val="21"/>
              </w:rPr>
              <w:t>2022RB026</w:t>
            </w:r>
          </w:p>
        </w:tc>
      </w:tr>
      <w:tr w14:paraId="1BA01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029" w:hRule="atLeast"/>
        </w:trPr>
        <w:tc>
          <w:tcPr>
            <w:tcW w:w="1794" w:type="dxa"/>
            <w:vAlign w:val="center"/>
          </w:tcPr>
          <w:p w14:paraId="4BAB7ED9">
            <w:pPr>
              <w:spacing w:line="360" w:lineRule="exact"/>
              <w:ind w:left="141" w:leftChars="67" w:right="176" w:rightChars="84"/>
              <w:rPr>
                <w:rFonts w:ascii="宋体" w:hAnsi="宋体"/>
                <w:color w:val="000000"/>
                <w:szCs w:val="21"/>
              </w:rPr>
            </w:pPr>
            <w:r>
              <w:rPr>
                <w:rFonts w:hint="eastAsia" w:ascii="宋体" w:hAnsi="宋体"/>
                <w:color w:val="000000"/>
                <w:szCs w:val="21"/>
              </w:rPr>
              <w:t>1.4制（修）订</w:t>
            </w:r>
          </w:p>
        </w:tc>
        <w:tc>
          <w:tcPr>
            <w:tcW w:w="7590" w:type="dxa"/>
            <w:gridSpan w:val="5"/>
            <w:vAlign w:val="center"/>
          </w:tcPr>
          <w:p w14:paraId="573759B3">
            <w:pPr>
              <w:jc w:val="left"/>
              <w:rPr>
                <w:rFonts w:ascii="宋体" w:hAnsi="宋体"/>
                <w:snapToGrid w:val="0"/>
                <w:color w:val="000000"/>
                <w:kern w:val="0"/>
                <w:szCs w:val="21"/>
              </w:rPr>
            </w:pPr>
            <w:r>
              <w:rPr>
                <w:rFonts w:hint="eastAsia" w:ascii="宋体" w:hAnsi="宋体"/>
                <w:snapToGrid w:val="0"/>
                <w:color w:val="000000"/>
                <w:kern w:val="0"/>
                <w:szCs w:val="21"/>
              </w:rPr>
              <w:t xml:space="preserve">□制定     </w:t>
            </w:r>
            <w:r>
              <w:rPr>
                <w:rFonts w:hint="eastAsia" w:ascii="宋体" w:hAnsi="宋体"/>
                <w:snapToGrid w:val="0"/>
                <w:color w:val="000000"/>
                <w:kern w:val="0"/>
                <w:szCs w:val="21"/>
                <w:lang w:eastAsia="zh-CN"/>
              </w:rPr>
              <w:t>☑</w:t>
            </w:r>
            <w:r>
              <w:rPr>
                <w:rFonts w:hint="eastAsia" w:ascii="宋体" w:hAnsi="宋体"/>
                <w:snapToGrid w:val="0"/>
                <w:color w:val="000000"/>
                <w:kern w:val="0"/>
                <w:szCs w:val="21"/>
              </w:rPr>
              <w:t>修订</w:t>
            </w:r>
            <w:r>
              <w:rPr>
                <w:rFonts w:hint="eastAsia" w:ascii="宋体" w:hAnsi="宋体"/>
                <w:szCs w:val="21"/>
              </w:rPr>
              <w:t>（被修订标准名称及编</w:t>
            </w:r>
            <w:r>
              <w:rPr>
                <w:rFonts w:hint="eastAsia" w:ascii="宋体" w:hAnsi="宋体"/>
                <w:color w:val="000000"/>
                <w:szCs w:val="21"/>
              </w:rPr>
              <w:t>号：</w:t>
            </w:r>
            <w:r>
              <w:rPr>
                <w:rFonts w:ascii="宋体" w:hAnsi="宋体"/>
                <w:color w:val="000000"/>
                <w:szCs w:val="21"/>
              </w:rPr>
              <w:t>RB/T 194-2015</w:t>
            </w:r>
            <w:r>
              <w:rPr>
                <w:rFonts w:hint="eastAsia" w:ascii="宋体" w:hAnsi="宋体"/>
                <w:color w:val="000000"/>
                <w:szCs w:val="21"/>
              </w:rPr>
              <w:t>）</w:t>
            </w:r>
          </w:p>
        </w:tc>
      </w:tr>
      <w:tr w14:paraId="12C4C4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2" w:hRule="atLeast"/>
        </w:trPr>
        <w:tc>
          <w:tcPr>
            <w:tcW w:w="1794" w:type="dxa"/>
            <w:vAlign w:val="center"/>
          </w:tcPr>
          <w:p w14:paraId="7D6B6EF7">
            <w:pPr>
              <w:ind w:left="141" w:leftChars="67" w:right="176" w:rightChars="84"/>
              <w:rPr>
                <w:rFonts w:ascii="宋体" w:hAnsi="宋体"/>
                <w:color w:val="000000"/>
                <w:szCs w:val="21"/>
              </w:rPr>
            </w:pPr>
            <w:r>
              <w:rPr>
                <w:rFonts w:ascii="宋体" w:hAnsi="宋体"/>
                <w:color w:val="000000"/>
                <w:szCs w:val="21"/>
              </w:rPr>
              <w:t>1.5 起止时间</w:t>
            </w:r>
          </w:p>
        </w:tc>
        <w:tc>
          <w:tcPr>
            <w:tcW w:w="7590" w:type="dxa"/>
            <w:gridSpan w:val="5"/>
            <w:vAlign w:val="center"/>
          </w:tcPr>
          <w:p w14:paraId="001A07FE">
            <w:pPr>
              <w:jc w:val="center"/>
              <w:rPr>
                <w:rFonts w:ascii="宋体" w:hAnsi="宋体"/>
                <w:color w:val="000000"/>
                <w:szCs w:val="21"/>
              </w:rPr>
            </w:pPr>
            <w:r>
              <w:rPr>
                <w:rFonts w:hint="eastAsia" w:ascii="宋体" w:hAnsi="宋体"/>
                <w:color w:val="000000"/>
                <w:szCs w:val="21"/>
              </w:rPr>
              <w:t>2022  年 12 月 ～  202</w:t>
            </w:r>
            <w:r>
              <w:rPr>
                <w:rFonts w:hint="eastAsia" w:ascii="宋体" w:hAnsi="宋体"/>
                <w:color w:val="000000"/>
                <w:szCs w:val="21"/>
                <w:lang w:val="en-US" w:eastAsia="zh-CN"/>
              </w:rPr>
              <w:t>5</w:t>
            </w:r>
            <w:r>
              <w:rPr>
                <w:rFonts w:hint="eastAsia" w:ascii="宋体" w:hAnsi="宋体"/>
                <w:color w:val="000000"/>
                <w:szCs w:val="21"/>
              </w:rPr>
              <w:t xml:space="preserve"> 年 12月</w:t>
            </w:r>
          </w:p>
        </w:tc>
      </w:tr>
      <w:tr w14:paraId="696857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6" w:hRule="atLeast"/>
        </w:trPr>
        <w:tc>
          <w:tcPr>
            <w:tcW w:w="1794" w:type="dxa"/>
            <w:vAlign w:val="center"/>
          </w:tcPr>
          <w:p w14:paraId="2A82ACA6">
            <w:pPr>
              <w:ind w:left="141" w:leftChars="67" w:right="176" w:rightChars="84"/>
              <w:rPr>
                <w:rFonts w:ascii="宋体" w:hAnsi="宋体"/>
                <w:color w:val="000000"/>
                <w:szCs w:val="21"/>
              </w:rPr>
            </w:pPr>
            <w:r>
              <w:rPr>
                <w:rFonts w:ascii="宋体" w:hAnsi="宋体"/>
                <w:color w:val="000000"/>
                <w:szCs w:val="21"/>
              </w:rPr>
              <w:t xml:space="preserve">1.6 </w:t>
            </w:r>
            <w:r>
              <w:rPr>
                <w:rFonts w:hint="eastAsia" w:ascii="宋体" w:hAnsi="宋体"/>
                <w:color w:val="000000"/>
                <w:szCs w:val="21"/>
              </w:rPr>
              <w:t>标准起草</w:t>
            </w:r>
            <w:r>
              <w:rPr>
                <w:rFonts w:ascii="宋体" w:hAnsi="宋体"/>
                <w:color w:val="000000"/>
                <w:szCs w:val="21"/>
              </w:rPr>
              <w:t>单位</w:t>
            </w:r>
          </w:p>
        </w:tc>
        <w:tc>
          <w:tcPr>
            <w:tcW w:w="7590" w:type="dxa"/>
            <w:gridSpan w:val="5"/>
            <w:vAlign w:val="center"/>
          </w:tcPr>
          <w:p w14:paraId="1B891AA9">
            <w:pPr>
              <w:rPr>
                <w:rFonts w:hint="eastAsia" w:ascii="宋体" w:hAnsi="宋体" w:eastAsia="宋体"/>
                <w:color w:val="000000"/>
                <w:szCs w:val="21"/>
                <w:lang w:eastAsia="zh-CN"/>
              </w:rPr>
            </w:pPr>
            <w:r>
              <w:rPr>
                <w:rFonts w:hint="eastAsia" w:ascii="宋体" w:hAnsi="宋体"/>
                <w:color w:val="000000"/>
                <w:szCs w:val="21"/>
                <w:lang w:eastAsia="zh-CN"/>
              </w:rPr>
              <w:t>中国合格评定国家认可中心等</w:t>
            </w:r>
          </w:p>
        </w:tc>
      </w:tr>
      <w:tr w14:paraId="22CA04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81" w:hRule="atLeast"/>
        </w:trPr>
        <w:tc>
          <w:tcPr>
            <w:tcW w:w="1794" w:type="dxa"/>
            <w:vAlign w:val="center"/>
          </w:tcPr>
          <w:p w14:paraId="57FDC6D8">
            <w:pPr>
              <w:ind w:left="141" w:leftChars="67" w:right="176" w:rightChars="84"/>
              <w:rPr>
                <w:rFonts w:ascii="宋体" w:hAnsi="宋体"/>
                <w:color w:val="000000"/>
                <w:szCs w:val="21"/>
              </w:rPr>
            </w:pPr>
            <w:r>
              <w:rPr>
                <w:rFonts w:ascii="宋体" w:hAnsi="宋体"/>
                <w:color w:val="000000"/>
                <w:szCs w:val="21"/>
              </w:rPr>
              <w:t>1.7 起草</w:t>
            </w:r>
            <w:r>
              <w:rPr>
                <w:rFonts w:hint="eastAsia" w:ascii="宋体" w:hAnsi="宋体"/>
                <w:color w:val="000000"/>
                <w:szCs w:val="21"/>
              </w:rPr>
              <w:t>组成员</w:t>
            </w:r>
          </w:p>
        </w:tc>
        <w:tc>
          <w:tcPr>
            <w:tcW w:w="7590" w:type="dxa"/>
            <w:gridSpan w:val="5"/>
            <w:vAlign w:val="center"/>
          </w:tcPr>
          <w:p w14:paraId="7C2E2774">
            <w:pPr>
              <w:rPr>
                <w:rFonts w:hint="eastAsia" w:ascii="宋体" w:hAnsi="宋体" w:eastAsia="宋体"/>
                <w:color w:val="000000"/>
                <w:szCs w:val="21"/>
                <w:lang w:eastAsia="zh-CN"/>
              </w:rPr>
            </w:pPr>
            <w:r>
              <w:rPr>
                <w:rFonts w:hint="eastAsia" w:ascii="宋体" w:hAnsi="宋体"/>
                <w:color w:val="000000"/>
                <w:szCs w:val="21"/>
                <w:lang w:eastAsia="zh-CN"/>
              </w:rPr>
              <w:t>贾汝静、鹿阳等</w:t>
            </w:r>
          </w:p>
        </w:tc>
      </w:tr>
      <w:tr w14:paraId="49F9ED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76" w:hRule="exact"/>
        </w:trPr>
        <w:tc>
          <w:tcPr>
            <w:tcW w:w="1794" w:type="dxa"/>
            <w:tcBorders>
              <w:bottom w:val="single" w:color="auto" w:sz="4" w:space="0"/>
            </w:tcBorders>
            <w:vAlign w:val="center"/>
          </w:tcPr>
          <w:p w14:paraId="04CF3A79">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8</w:t>
            </w:r>
            <w:r>
              <w:rPr>
                <w:rFonts w:ascii="宋体" w:hAnsi="宋体"/>
                <w:color w:val="000000"/>
                <w:szCs w:val="21"/>
              </w:rPr>
              <w:t xml:space="preserve"> </w:t>
            </w:r>
            <w:r>
              <w:rPr>
                <w:rFonts w:hint="eastAsia" w:ascii="宋体" w:hAnsi="宋体"/>
                <w:color w:val="000000"/>
                <w:szCs w:val="21"/>
              </w:rPr>
              <w:t>标准体系表内编号</w:t>
            </w:r>
          </w:p>
        </w:tc>
        <w:tc>
          <w:tcPr>
            <w:tcW w:w="7590" w:type="dxa"/>
            <w:gridSpan w:val="5"/>
            <w:tcBorders>
              <w:bottom w:val="single" w:color="auto" w:sz="4" w:space="0"/>
            </w:tcBorders>
            <w:vAlign w:val="center"/>
          </w:tcPr>
          <w:p w14:paraId="3DA00A33">
            <w:pPr>
              <w:rPr>
                <w:rFonts w:ascii="宋体" w:hAnsi="宋体"/>
                <w:color w:val="000000"/>
                <w:szCs w:val="21"/>
              </w:rPr>
            </w:pPr>
          </w:p>
        </w:tc>
      </w:tr>
      <w:tr w14:paraId="6CD19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081" w:hRule="exact"/>
        </w:trPr>
        <w:tc>
          <w:tcPr>
            <w:tcW w:w="1794" w:type="dxa"/>
            <w:tcBorders>
              <w:top w:val="single" w:color="auto" w:sz="4" w:space="0"/>
              <w:left w:val="single" w:color="auto" w:sz="4" w:space="0"/>
              <w:bottom w:val="single" w:color="auto" w:sz="4" w:space="0"/>
              <w:right w:val="single" w:color="auto" w:sz="4" w:space="0"/>
            </w:tcBorders>
            <w:vAlign w:val="center"/>
          </w:tcPr>
          <w:p w14:paraId="5C6AF817">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9</w:t>
            </w:r>
            <w:r>
              <w:rPr>
                <w:rFonts w:ascii="宋体" w:hAnsi="宋体"/>
                <w:color w:val="000000"/>
                <w:szCs w:val="21"/>
              </w:rPr>
              <w:t>调整情况</w:t>
            </w:r>
          </w:p>
        </w:tc>
        <w:tc>
          <w:tcPr>
            <w:tcW w:w="7590" w:type="dxa"/>
            <w:gridSpan w:val="5"/>
            <w:tcBorders>
              <w:top w:val="single" w:color="auto" w:sz="4" w:space="0"/>
              <w:left w:val="single" w:color="auto" w:sz="4" w:space="0"/>
              <w:bottom w:val="single" w:color="auto" w:sz="4" w:space="0"/>
              <w:right w:val="single" w:color="auto" w:sz="4" w:space="0"/>
            </w:tcBorders>
            <w:vAlign w:val="center"/>
          </w:tcPr>
          <w:p w14:paraId="3D5836DC">
            <w:pPr>
              <w:keepNext w:val="0"/>
              <w:keepLines w:val="0"/>
              <w:widowControl/>
              <w:suppressLineNumbers w:val="0"/>
              <w:jc w:val="left"/>
              <w:rPr>
                <w:sz w:val="21"/>
                <w:szCs w:val="21"/>
              </w:rPr>
            </w:pPr>
            <w:r>
              <w:rPr>
                <w:rFonts w:hint="eastAsia" w:ascii="宋体" w:hAnsi="宋体" w:cs="宋体"/>
                <w:kern w:val="0"/>
                <w:sz w:val="21"/>
                <w:szCs w:val="21"/>
                <w:lang w:val="en-US" w:eastAsia="zh-CN" w:bidi="ar"/>
              </w:rPr>
              <w:t>本项目为对RB/T194-2015</w:t>
            </w:r>
            <w:r>
              <w:rPr>
                <w:rFonts w:ascii="宋体" w:hAnsi="宋体" w:eastAsia="宋体" w:cs="宋体"/>
                <w:kern w:val="0"/>
                <w:sz w:val="21"/>
                <w:szCs w:val="21"/>
                <w:lang w:val="en-US" w:eastAsia="zh-CN" w:bidi="ar"/>
              </w:rPr>
              <w:t>《法医DNA能力验证实施指南》</w:t>
            </w:r>
            <w:r>
              <w:rPr>
                <w:rFonts w:hint="eastAsia" w:ascii="宋体" w:hAnsi="宋体" w:cs="宋体"/>
                <w:kern w:val="0"/>
                <w:sz w:val="21"/>
                <w:szCs w:val="21"/>
                <w:lang w:val="en-US" w:eastAsia="zh-CN" w:bidi="ar"/>
              </w:rPr>
              <w:t>标准的修订，</w:t>
            </w:r>
            <w:r>
              <w:rPr>
                <w:rFonts w:ascii="宋体" w:hAnsi="宋体" w:eastAsia="宋体" w:cs="宋体"/>
                <w:kern w:val="0"/>
                <w:sz w:val="21"/>
                <w:szCs w:val="21"/>
                <w:lang w:val="en-US" w:eastAsia="zh-CN" w:bidi="ar"/>
              </w:rPr>
              <w:t>本次修订旨在结合新版ISO/IEC 17043文件及202</w:t>
            </w:r>
            <w:r>
              <w:rPr>
                <w:rFonts w:hint="eastAsia" w:ascii="宋体" w:hAnsi="宋体" w:cs="宋体"/>
                <w:kern w:val="0"/>
                <w:sz w:val="21"/>
                <w:szCs w:val="21"/>
                <w:lang w:val="en-US" w:eastAsia="zh-CN" w:bidi="ar"/>
              </w:rPr>
              <w:t>1</w:t>
            </w:r>
            <w:r>
              <w:rPr>
                <w:rFonts w:ascii="宋体" w:hAnsi="宋体" w:eastAsia="宋体" w:cs="宋体"/>
                <w:kern w:val="0"/>
                <w:sz w:val="21"/>
                <w:szCs w:val="21"/>
                <w:lang w:val="en-US" w:eastAsia="zh-CN" w:bidi="ar"/>
              </w:rPr>
              <w:t>年发布的RB/T 060《司法鉴定/法庭科学能力验证实施指南》系列标准，实现与新版国际标准及系列行业标准的协调一致。立项时</w:t>
            </w:r>
            <w:r>
              <w:rPr>
                <w:rFonts w:hint="eastAsia" w:ascii="宋体" w:hAnsi="宋体" w:cs="宋体"/>
                <w:kern w:val="0"/>
                <w:sz w:val="21"/>
                <w:szCs w:val="21"/>
                <w:lang w:val="en-US" w:eastAsia="zh-CN" w:bidi="ar"/>
              </w:rPr>
              <w:t>标准</w:t>
            </w:r>
            <w:r>
              <w:rPr>
                <w:rFonts w:ascii="宋体" w:hAnsi="宋体" w:eastAsia="宋体" w:cs="宋体"/>
                <w:kern w:val="0"/>
                <w:sz w:val="21"/>
                <w:szCs w:val="21"/>
                <w:lang w:val="en-US" w:eastAsia="zh-CN" w:bidi="ar"/>
              </w:rPr>
              <w:t>名称为《司法鉴定/法庭科学能力验证实施指南 第8部分：法医DNA鉴定》，</w:t>
            </w:r>
          </w:p>
          <w:p w14:paraId="7C8A9DBA">
            <w:pPr>
              <w:rPr>
                <w:rFonts w:ascii="宋体" w:hAnsi="宋体"/>
                <w:color w:val="000000"/>
                <w:szCs w:val="21"/>
              </w:rPr>
            </w:pPr>
            <w:r>
              <w:rPr>
                <w:rFonts w:ascii="宋体" w:hAnsi="宋体" w:eastAsia="宋体" w:cs="宋体"/>
                <w:kern w:val="0"/>
                <w:sz w:val="21"/>
                <w:szCs w:val="21"/>
                <w:lang w:val="en-US" w:eastAsia="zh-CN" w:bidi="ar"/>
              </w:rPr>
              <w:t>修订过程中，综合考虑当前法医物证鉴定技术领域的学科进展与现状，为统一规范表述，根据专家建议拟将标准名称调整为《司法鉴定/法庭科学能力验证实施指南 第8部分：法医物证鉴定》，目前正广泛征求各相关单位及专家意见，后续将根据反馈进一步确定是否调整。同时，依据标准修订的技术需求及执行需要，对起草组人员进行了增补调整。</w:t>
            </w:r>
          </w:p>
        </w:tc>
      </w:tr>
    </w:tbl>
    <w:p w14:paraId="6F8C6041">
      <w:pPr>
        <w:rPr>
          <w:rFonts w:eastAsia="仿宋_GB2312"/>
          <w:b/>
          <w:color w:val="000000"/>
          <w:kern w:val="0"/>
          <w:sz w:val="32"/>
        </w:rPr>
      </w:pPr>
    </w:p>
    <w:tbl>
      <w:tblPr>
        <w:tblStyle w:val="2"/>
        <w:tblpPr w:leftFromText="180" w:rightFromText="180" w:vertAnchor="text" w:horzAnchor="margin" w:tblpXSpec="center" w:tblpY="169"/>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7590"/>
      </w:tblGrid>
      <w:tr w14:paraId="3A99E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85" w:hRule="exact"/>
        </w:trPr>
        <w:tc>
          <w:tcPr>
            <w:tcW w:w="9384" w:type="dxa"/>
            <w:gridSpan w:val="2"/>
            <w:tcBorders>
              <w:top w:val="nil"/>
              <w:left w:val="nil"/>
              <w:bottom w:val="nil"/>
              <w:right w:val="nil"/>
            </w:tcBorders>
            <w:vAlign w:val="center"/>
          </w:tcPr>
          <w:p w14:paraId="67CE238B">
            <w:pPr>
              <w:rPr>
                <w:rFonts w:ascii="宋体" w:hAnsi="宋体"/>
                <w:b/>
                <w:color w:val="000000"/>
                <w:szCs w:val="21"/>
              </w:rPr>
            </w:pPr>
            <w:r>
              <w:rPr>
                <w:rFonts w:hint="eastAsia" w:ascii="宋体" w:hAnsi="宋体"/>
                <w:b/>
                <w:color w:val="000000"/>
                <w:szCs w:val="21"/>
              </w:rPr>
              <w:t>2、背景情况</w:t>
            </w:r>
          </w:p>
        </w:tc>
      </w:tr>
      <w:tr w14:paraId="3A2AF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733" w:hRule="atLeast"/>
        </w:trPr>
        <w:tc>
          <w:tcPr>
            <w:tcW w:w="1794" w:type="dxa"/>
            <w:tcBorders>
              <w:top w:val="single" w:color="auto" w:sz="4" w:space="0"/>
              <w:left w:val="single" w:color="auto" w:sz="4" w:space="0"/>
              <w:right w:val="single" w:color="auto" w:sz="4" w:space="0"/>
            </w:tcBorders>
            <w:vAlign w:val="center"/>
          </w:tcPr>
          <w:p w14:paraId="71CA1CD2">
            <w:pPr>
              <w:ind w:left="141" w:leftChars="67" w:right="36" w:rightChars="17"/>
              <w:rPr>
                <w:rFonts w:ascii="宋体" w:hAnsi="宋体"/>
                <w:color w:val="000000"/>
                <w:szCs w:val="21"/>
              </w:rPr>
            </w:pPr>
            <w:r>
              <w:rPr>
                <w:rFonts w:ascii="宋体" w:hAnsi="宋体"/>
                <w:color w:val="000000"/>
                <w:szCs w:val="21"/>
              </w:rPr>
              <w:t>2.1 目的、意义</w:t>
            </w:r>
          </w:p>
          <w:p w14:paraId="093C3DD2">
            <w:pPr>
              <w:ind w:left="141" w:leftChars="67" w:right="36" w:rightChars="17"/>
              <w:rPr>
                <w:rFonts w:ascii="宋体" w:hAnsi="宋体"/>
                <w:color w:val="000000"/>
                <w:szCs w:val="21"/>
              </w:rPr>
            </w:pPr>
            <w:r>
              <w:rPr>
                <w:rFonts w:hint="eastAsia" w:ascii="宋体" w:hAnsi="宋体"/>
                <w:color w:val="000000"/>
                <w:szCs w:val="21"/>
              </w:rPr>
              <w:t>（工作开展背景及要求）</w:t>
            </w:r>
          </w:p>
        </w:tc>
        <w:tc>
          <w:tcPr>
            <w:tcW w:w="7590" w:type="dxa"/>
            <w:tcBorders>
              <w:top w:val="single" w:color="auto" w:sz="4" w:space="0"/>
              <w:left w:val="single" w:color="auto" w:sz="4" w:space="0"/>
              <w:right w:val="single" w:color="auto" w:sz="4" w:space="0"/>
            </w:tcBorders>
            <w:vAlign w:val="center"/>
          </w:tcPr>
          <w:p w14:paraId="52560904">
            <w:pPr>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法医</w:t>
            </w:r>
            <w:r>
              <w:rPr>
                <w:rFonts w:hint="eastAsia" w:ascii="宋体" w:hAnsi="宋体" w:cs="宋体"/>
                <w:b w:val="0"/>
                <w:bCs w:val="0"/>
                <w:color w:val="000000"/>
                <w:sz w:val="21"/>
                <w:szCs w:val="21"/>
                <w:lang w:eastAsia="zh-CN"/>
              </w:rPr>
              <w:t>物证</w:t>
            </w:r>
            <w:r>
              <w:rPr>
                <w:rFonts w:hint="eastAsia" w:ascii="宋体" w:hAnsi="宋体" w:eastAsia="宋体" w:cs="宋体"/>
                <w:b w:val="0"/>
                <w:bCs w:val="0"/>
                <w:color w:val="000000"/>
                <w:sz w:val="21"/>
                <w:szCs w:val="21"/>
              </w:rPr>
              <w:t>鉴定是运用免疫学、生物学、生物化学、分子生物学等的理论和方法，利用遗传学标记系统的多态性对生物学检材的种类、种属及个体来源进行鉴定。其主要内容包括：个体识别、亲子鉴定、性别鉴定、种族和种属认定等，广泛应用于各类刑事、民事等案件中，在打击犯罪、为司法公正提供科学依据等方面发挥着十分重要的作用。法医</w:t>
            </w:r>
            <w:r>
              <w:rPr>
                <w:rFonts w:hint="eastAsia" w:ascii="宋体" w:hAnsi="宋体" w:cs="宋体"/>
                <w:b w:val="0"/>
                <w:bCs w:val="0"/>
                <w:color w:val="000000"/>
                <w:sz w:val="21"/>
                <w:szCs w:val="21"/>
                <w:lang w:eastAsia="zh-CN"/>
              </w:rPr>
              <w:t>物证</w:t>
            </w:r>
            <w:r>
              <w:rPr>
                <w:rFonts w:hint="eastAsia" w:ascii="宋体" w:hAnsi="宋体" w:eastAsia="宋体" w:cs="宋体"/>
                <w:b w:val="0"/>
                <w:bCs w:val="0"/>
                <w:color w:val="000000"/>
                <w:sz w:val="21"/>
                <w:szCs w:val="21"/>
              </w:rPr>
              <w:t>鉴定结果作为法庭证据，必须满足科学性、规范性、可靠性的基本要求，最大化的减低人为因素所导致的主观性、随意性，最大限度的规范鉴定主体、鉴定对象、鉴定方法和程序、结果判断，保证鉴定意见的科学、客观和公正，实现“统一”的目标。因此，对于法医物证鉴定实验室，无论是外部行业监管还是内部主动寻求改进，都需要科学、客观、有效的评估手段和途径。</w:t>
            </w:r>
          </w:p>
          <w:p w14:paraId="6E280212">
            <w:pPr>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能力验证作为实验室间能力比对方法，在司法鉴定/法庭科学机构中得到了广泛的应用。能力验证作为外部质量评价过程中的关键内容，已被各国司法鉴定管理部门或行业机构视为一种有效的实验室质量监控和持续改进的手段。在法医物证鉴定领域开展能力验证，不断探索法医物证鉴定能力考察和评价的科学、客观的方法和途径，有助于不同机构间在对同一问题的鉴定获得基本一致的结论，保障司法鉴定结论的一致性和可比性。</w:t>
            </w:r>
          </w:p>
          <w:p w14:paraId="2C7F798D">
            <w:pPr>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2014年，国家认监委批准了认证认可行业标准《法医DNA鉴定能力验证实施指南》的立项研制，并于2015年正式发布，标准编号为RB/T 194</w:t>
            </w:r>
            <w:r>
              <w:rPr>
                <w:rFonts w:hint="eastAsia" w:ascii="宋体" w:hAnsi="宋体" w:cs="宋体"/>
                <w:b w:val="0"/>
                <w:bCs w:val="0"/>
                <w:color w:val="000000"/>
                <w:sz w:val="21"/>
                <w:szCs w:val="21"/>
                <w:lang w:val="en-US" w:eastAsia="zh-CN"/>
              </w:rPr>
              <w:t>-2015</w:t>
            </w:r>
            <w:r>
              <w:rPr>
                <w:rFonts w:hint="eastAsia" w:ascii="宋体" w:hAnsi="宋体" w:eastAsia="宋体" w:cs="宋体"/>
                <w:b w:val="0"/>
                <w:bCs w:val="0"/>
                <w:color w:val="000000"/>
                <w:sz w:val="21"/>
                <w:szCs w:val="21"/>
              </w:rPr>
              <w:t>。本标准为我国第一个司法鉴定/法庭科学领域能力验证行业标准，由中国合格评定国家认可中心（CNAS）会同国内法医</w:t>
            </w:r>
            <w:r>
              <w:rPr>
                <w:rFonts w:hint="eastAsia" w:ascii="宋体" w:hAnsi="宋体" w:cs="宋体"/>
                <w:b w:val="0"/>
                <w:bCs w:val="0"/>
                <w:color w:val="000000"/>
                <w:sz w:val="21"/>
                <w:szCs w:val="21"/>
                <w:lang w:eastAsia="zh-CN"/>
              </w:rPr>
              <w:t>物证</w:t>
            </w:r>
            <w:r>
              <w:rPr>
                <w:rFonts w:hint="eastAsia" w:ascii="宋体" w:hAnsi="宋体" w:eastAsia="宋体" w:cs="宋体"/>
                <w:b w:val="0"/>
                <w:bCs w:val="0"/>
                <w:color w:val="000000"/>
                <w:sz w:val="21"/>
                <w:szCs w:val="21"/>
              </w:rPr>
              <w:t>鉴定。2016年12月至2020年6月，CNAS承担了国家 “十三五”重点专项课题“司法鉴定能力控制技术研究与示范”，在该课题支持下，着手研究和制定我国司法鉴定/法庭科学各代表专业能力验证实施指南，2021年，国家认监委批准发布了司法鉴定/法庭科学领域能力验证实施指南系列标准，截至</w:t>
            </w:r>
            <w:r>
              <w:rPr>
                <w:rFonts w:hint="eastAsia" w:ascii="宋体" w:hAnsi="宋体" w:cs="宋体"/>
                <w:b w:val="0"/>
                <w:bCs w:val="0"/>
                <w:color w:val="000000"/>
                <w:sz w:val="21"/>
                <w:szCs w:val="21"/>
                <w:lang w:eastAsia="zh-CN"/>
              </w:rPr>
              <w:t>目</w:t>
            </w:r>
            <w:r>
              <w:rPr>
                <w:rFonts w:hint="eastAsia" w:ascii="宋体" w:hAnsi="宋体" w:eastAsia="宋体" w:cs="宋体"/>
                <w:b w:val="0"/>
                <w:bCs w:val="0"/>
                <w:color w:val="000000"/>
                <w:sz w:val="21"/>
                <w:szCs w:val="21"/>
              </w:rPr>
              <w:t>前已发布法医病理学鉴定等</w:t>
            </w:r>
            <w:r>
              <w:rPr>
                <w:rFonts w:hint="eastAsia" w:ascii="宋体" w:hAnsi="宋体" w:cs="宋体"/>
                <w:b w:val="0"/>
                <w:bCs w:val="0"/>
                <w:color w:val="000000"/>
                <w:sz w:val="21"/>
                <w:szCs w:val="21"/>
                <w:lang w:val="en-US" w:eastAsia="zh-CN"/>
              </w:rPr>
              <w:t>7</w:t>
            </w:r>
            <w:r>
              <w:rPr>
                <w:rFonts w:hint="eastAsia" w:ascii="宋体" w:hAnsi="宋体" w:eastAsia="宋体" w:cs="宋体"/>
                <w:b w:val="0"/>
                <w:bCs w:val="0"/>
                <w:color w:val="000000"/>
                <w:sz w:val="21"/>
                <w:szCs w:val="21"/>
              </w:rPr>
              <w:t>个专业（编号RB/T 060.1</w:t>
            </w:r>
            <w:r>
              <w:rPr>
                <w:rFonts w:hint="eastAsia" w:ascii="宋体" w:hAnsi="宋体"/>
                <w:color w:val="000000"/>
                <w:szCs w:val="21"/>
              </w:rPr>
              <w:t xml:space="preserve"> ～ </w:t>
            </w:r>
            <w:r>
              <w:rPr>
                <w:rFonts w:hint="eastAsia" w:ascii="宋体" w:hAnsi="宋体" w:eastAsia="宋体" w:cs="宋体"/>
                <w:b w:val="0"/>
                <w:bCs w:val="0"/>
                <w:color w:val="000000"/>
                <w:sz w:val="21"/>
                <w:szCs w:val="21"/>
              </w:rPr>
              <w:t>RB/T 060.</w:t>
            </w:r>
            <w:r>
              <w:rPr>
                <w:rFonts w:hint="eastAsia" w:ascii="宋体" w:hAnsi="宋体" w:cs="宋体"/>
                <w:b w:val="0"/>
                <w:bCs w:val="0"/>
                <w:color w:val="000000"/>
                <w:sz w:val="21"/>
                <w:szCs w:val="21"/>
                <w:lang w:val="en-US" w:eastAsia="zh-CN"/>
              </w:rPr>
              <w:t>7</w:t>
            </w:r>
            <w:r>
              <w:rPr>
                <w:rFonts w:hint="eastAsia" w:ascii="宋体" w:hAnsi="宋体" w:eastAsia="宋体" w:cs="宋体"/>
                <w:b w:val="0"/>
                <w:bCs w:val="0"/>
                <w:color w:val="000000"/>
                <w:sz w:val="21"/>
                <w:szCs w:val="21"/>
              </w:rPr>
              <w:t>）</w:t>
            </w:r>
            <w:r>
              <w:rPr>
                <w:rFonts w:hint="eastAsia" w:ascii="宋体" w:hAnsi="宋体" w:cs="宋体"/>
                <w:b w:val="0"/>
                <w:bCs w:val="0"/>
                <w:color w:val="000000"/>
                <w:sz w:val="21"/>
                <w:szCs w:val="21"/>
                <w:lang w:eastAsia="zh-CN"/>
              </w:rPr>
              <w:t>认证认可行业</w:t>
            </w:r>
            <w:bookmarkStart w:id="0" w:name="_GoBack"/>
            <w:bookmarkEnd w:id="0"/>
            <w:r>
              <w:rPr>
                <w:rFonts w:hint="eastAsia" w:ascii="宋体" w:hAnsi="宋体" w:eastAsia="宋体" w:cs="宋体"/>
                <w:b w:val="0"/>
                <w:bCs w:val="0"/>
                <w:color w:val="000000"/>
                <w:sz w:val="21"/>
                <w:szCs w:val="21"/>
              </w:rPr>
              <w:t>标准。</w:t>
            </w:r>
          </w:p>
          <w:p w14:paraId="271CA4F7">
            <w:pPr>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本标准为2015年制定发布的法医物证鉴定专业能力验证实施指南标准，由于制定较早，在标准名称、构架、内容上与已发布的RB/T 060系列标准存在一定差异，同时，随着近年来法医物证鉴定标准化的发展，术语和定义等相关内容均有更新，为保证司法鉴定法庭科学领域各专业能力验证实施指南系列RB标准统一，并适应行业发展需求与专业标准化进程，现提出修订RB/T 194-2015《法医DNA鉴定能力验证实施指南》，以期使司法鉴定/法庭科学领域能力验证标准化与时俱进地支撑行业发展、行业管理并服务社会，从而实现标准化工作的最终目的。</w:t>
            </w:r>
          </w:p>
          <w:p w14:paraId="62F32F32">
            <w:pPr>
              <w:rPr>
                <w:rFonts w:ascii="宋体" w:hAnsi="宋体"/>
                <w:color w:val="000000"/>
                <w:szCs w:val="21"/>
              </w:rPr>
            </w:pPr>
          </w:p>
        </w:tc>
      </w:tr>
      <w:tr w14:paraId="0DCE5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2983" w:hRule="exact"/>
        </w:trPr>
        <w:tc>
          <w:tcPr>
            <w:tcW w:w="1794" w:type="dxa"/>
            <w:tcBorders>
              <w:top w:val="single" w:color="auto" w:sz="4" w:space="0"/>
              <w:left w:val="single" w:color="auto" w:sz="4" w:space="0"/>
              <w:bottom w:val="single" w:color="auto" w:sz="4" w:space="0"/>
              <w:right w:val="single" w:color="auto" w:sz="4" w:space="0"/>
            </w:tcBorders>
            <w:vAlign w:val="center"/>
          </w:tcPr>
          <w:p w14:paraId="62085878">
            <w:pPr>
              <w:ind w:left="141" w:leftChars="67" w:right="36" w:rightChars="17"/>
              <w:rPr>
                <w:rFonts w:ascii="宋体" w:hAnsi="宋体"/>
                <w:color w:val="000000"/>
                <w:szCs w:val="21"/>
              </w:rPr>
            </w:pPr>
            <w:r>
              <w:rPr>
                <w:rFonts w:ascii="宋体" w:hAnsi="宋体"/>
                <w:color w:val="000000"/>
                <w:szCs w:val="21"/>
              </w:rPr>
              <w:t>2.2 与国内外相关标准、文献的关系</w:t>
            </w:r>
          </w:p>
        </w:tc>
        <w:tc>
          <w:tcPr>
            <w:tcW w:w="7590" w:type="dxa"/>
            <w:tcBorders>
              <w:top w:val="single" w:color="auto" w:sz="4" w:space="0"/>
              <w:left w:val="single" w:color="auto" w:sz="4" w:space="0"/>
              <w:bottom w:val="single" w:color="auto" w:sz="4" w:space="0"/>
              <w:right w:val="single" w:color="auto" w:sz="4" w:space="0"/>
            </w:tcBorders>
            <w:vAlign w:val="center"/>
          </w:tcPr>
          <w:p w14:paraId="0965785A">
            <w:pPr>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本项目拟结合国内外法医物证鉴定与司法鉴定质量保证及质量控制相关文件的要求，修订符合我国物证鉴定现状的能力验证指南文件。</w:t>
            </w:r>
          </w:p>
          <w:p w14:paraId="56A0ACA5">
            <w:pPr>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在司法鉴定/法庭科学领域，国内外认证认可组织都明确提出了参加能力验证的要求，如“国际实验室认可合作组织（ILAC）”的《法庭科学实验室指南》、“美国实验室认可协会（A2LA）”的《法庭科学检测类实验室认可特别要求》、“美国犯罪实验室主任协会/实验室认可委员会（ASCLD/LAB）”的《法庭科学实验室认可补充要求》及CNAS《司法鉴定/法庭科学机构能力认可准则》等，说明了能力验证在鉴定机构的能力证明和质量控制方面的重要性。</w:t>
            </w:r>
          </w:p>
          <w:p w14:paraId="182DCF33">
            <w:pPr>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美国“DNA分析方法技术工作组（TWGDAM）” 组织长期来从事于DNA鉴定的标准化和规范化工作，制定了一系列有关DNA鉴定及质量控制的标准和规范。TWGDAM于1990年制定了DNA鉴定能力验证指南，于1993年制定了质量保证准则。2009年，美国国家科学院国家研究委员会呼吁美国进行司法鉴定/法庭科学的改进，提出了加强司法鉴定/法庭科学标准化与加强认证认可与能力验证的建议。之后，司法鉴定/法庭科学领域标准化研究迅速推进，连续出台了多个能力验证相关的指南，并于2016年经美国国家标准与技术研究院正式发布《司法鉴定/法庭科学领域能力验证》标准，进一步对司法鉴定/法庭科学领域的能力验证范围、领域、策划、原则、步骤、结果反馈等事项进行了规定。</w:t>
            </w:r>
          </w:p>
          <w:p w14:paraId="20597089">
            <w:pPr>
              <w:spacing w:line="360" w:lineRule="exact"/>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    2010年，“国际标准化组织（ISO）”发布了ISO/IEC 17043《合格评定 能力验证的通用要求》，成为国际范围内达成一致的能力验证规范文件，适用于所有专业、行业的能力验证活动，并被各国认可机构作为PTP认可的基本准则。该标准被我国标准化委员会等同采用并于2012年发布为国家标准GB/T 27043《合格评定 能力验证的通用要求》。2012年，CNAS发布了CNAS-GL020：2018《司法鉴定法庭科学领域检验鉴定能力验证实施指南》，该准则是针对ISO/IEC 17043在整个司法鉴定/法庭科学领域的能力验证实施给出了技术要求的补充和说明。RB/T 194-2015《法医DNA鉴定能力验证实施指南》为2015年被国家认监委发布，本标准在遵循ISO/IEC 17043要求的前提下，给出了对于法医</w:t>
            </w:r>
            <w:r>
              <w:rPr>
                <w:rFonts w:hint="eastAsia" w:ascii="宋体" w:hAnsi="宋体" w:cs="宋体"/>
                <w:b w:val="0"/>
                <w:bCs w:val="0"/>
                <w:color w:val="000000"/>
                <w:sz w:val="21"/>
                <w:szCs w:val="21"/>
                <w:lang w:eastAsia="zh-CN"/>
              </w:rPr>
              <w:t>物证</w:t>
            </w:r>
            <w:r>
              <w:rPr>
                <w:rFonts w:hint="eastAsia" w:ascii="宋体" w:hAnsi="宋体" w:eastAsia="宋体" w:cs="宋体"/>
                <w:b w:val="0"/>
                <w:bCs w:val="0"/>
                <w:color w:val="000000"/>
                <w:sz w:val="21"/>
                <w:szCs w:val="21"/>
              </w:rPr>
              <w:t>鉴定专业能力验证的组织、实施和运作的指导。在此基础上，CNAS组织国内有关专家持续研究司法鉴定各专业能力验证实施指南标准化工作，2021年，国家认监委发布实施了RB/T 060《司法鉴定/法庭科学领域能力验证实施指南》系列标准，给出了法医病理学鉴定等6个专业能力验证实施指南的RB标准。本研究拟RB/T 194-2015《法医DNA鉴定能力验证实施指南》的基础上，结合国内外有关法医物证鉴定最新技术要求和管理要求，并考虑与RB/T 060系列标准相一致。本文件是RB/T 060《司法鉴定/法庭科学能力验证实施指南》的第8部分。RB/T 060发布了以下</w:t>
            </w:r>
            <w:r>
              <w:rPr>
                <w:rFonts w:hint="eastAsia" w:ascii="宋体" w:hAnsi="宋体" w:eastAsia="宋体" w:cs="宋体"/>
                <w:b w:val="0"/>
                <w:bCs w:val="0"/>
                <w:color w:val="000000"/>
                <w:sz w:val="21"/>
                <w:szCs w:val="21"/>
                <w:lang w:eastAsia="zh-CN"/>
              </w:rPr>
              <w:t>的其他</w:t>
            </w:r>
            <w:r>
              <w:rPr>
                <w:rFonts w:hint="eastAsia" w:ascii="宋体" w:hAnsi="宋体" w:eastAsia="宋体" w:cs="宋体"/>
                <w:b w:val="0"/>
                <w:bCs w:val="0"/>
                <w:color w:val="000000"/>
                <w:sz w:val="21"/>
                <w:szCs w:val="21"/>
              </w:rPr>
              <w:t>部分：第1部分：法医病理鉴定；第2部分：法医临床鉴定；第3部分：法医毒物鉴定；第4部分：文书鉴定；第5部分：声像鉴定；第6部分：道路交通事故车辆速度鉴定；第7部分：电子数据鉴定</w:t>
            </w:r>
            <w:r>
              <w:rPr>
                <w:rFonts w:hint="eastAsia" w:ascii="宋体" w:hAnsi="宋体" w:eastAsia="宋体" w:cs="宋体"/>
                <w:b w:val="0"/>
                <w:bCs w:val="0"/>
                <w:color w:val="000000"/>
                <w:sz w:val="21"/>
                <w:szCs w:val="21"/>
                <w:lang w:eastAsia="zh-CN"/>
              </w:rPr>
              <w:t>。</w:t>
            </w:r>
          </w:p>
          <w:p w14:paraId="6D0828C6">
            <w:pPr>
              <w:pStyle w:val="8"/>
              <w:jc w:val="left"/>
              <w:rPr>
                <w:rFonts w:hint="eastAsia"/>
              </w:rPr>
            </w:pPr>
          </w:p>
          <w:p w14:paraId="2C728752">
            <w:pPr>
              <w:rPr>
                <w:rFonts w:ascii="宋体" w:hAnsi="宋体"/>
                <w:color w:val="000000"/>
                <w:szCs w:val="21"/>
              </w:rPr>
            </w:pPr>
          </w:p>
        </w:tc>
      </w:tr>
    </w:tbl>
    <w:p w14:paraId="3C263A40">
      <w:pPr>
        <w:rPr>
          <w:rFonts w:eastAsia="仿宋_GB2312"/>
          <w:b/>
          <w:color w:val="000000"/>
          <w:kern w:val="0"/>
          <w:sz w:val="32"/>
        </w:rPr>
      </w:pPr>
    </w:p>
    <w:tbl>
      <w:tblPr>
        <w:tblStyle w:val="2"/>
        <w:tblpPr w:leftFromText="180" w:rightFromText="180" w:vertAnchor="text" w:horzAnchor="margin" w:tblpXSpec="center" w:tblpY="169"/>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7831"/>
      </w:tblGrid>
      <w:tr w14:paraId="28F96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65" w:hRule="exact"/>
        </w:trPr>
        <w:tc>
          <w:tcPr>
            <w:tcW w:w="9625" w:type="dxa"/>
            <w:gridSpan w:val="2"/>
            <w:tcBorders>
              <w:top w:val="nil"/>
              <w:left w:val="nil"/>
              <w:bottom w:val="nil"/>
              <w:right w:val="nil"/>
            </w:tcBorders>
            <w:vAlign w:val="center"/>
          </w:tcPr>
          <w:p w14:paraId="3E4D19A2">
            <w:pPr>
              <w:rPr>
                <w:rFonts w:ascii="宋体" w:hAnsi="宋体"/>
                <w:b/>
                <w:color w:val="000000"/>
                <w:szCs w:val="21"/>
              </w:rPr>
            </w:pPr>
            <w:r>
              <w:rPr>
                <w:rFonts w:hint="eastAsia" w:ascii="宋体" w:hAnsi="宋体"/>
                <w:b/>
                <w:color w:val="000000"/>
                <w:szCs w:val="21"/>
              </w:rPr>
              <w:t>3  编制过程</w:t>
            </w:r>
          </w:p>
        </w:tc>
      </w:tr>
      <w:tr w14:paraId="1E2AD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947" w:hRule="atLeast"/>
        </w:trPr>
        <w:tc>
          <w:tcPr>
            <w:tcW w:w="1794" w:type="dxa"/>
            <w:tcBorders>
              <w:top w:val="single" w:color="auto" w:sz="4" w:space="0"/>
              <w:bottom w:val="single" w:color="auto" w:sz="4" w:space="0"/>
            </w:tcBorders>
            <w:vAlign w:val="center"/>
          </w:tcPr>
          <w:p w14:paraId="24057C07">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1</w:t>
            </w:r>
            <w:r>
              <w:rPr>
                <w:rFonts w:ascii="宋体" w:hAnsi="宋体"/>
                <w:color w:val="000000"/>
                <w:szCs w:val="21"/>
              </w:rPr>
              <w:t xml:space="preserve"> 分工情况</w:t>
            </w:r>
          </w:p>
        </w:tc>
        <w:tc>
          <w:tcPr>
            <w:tcW w:w="7831" w:type="dxa"/>
            <w:tcBorders>
              <w:bottom w:val="single" w:color="auto" w:sz="4" w:space="0"/>
            </w:tcBorders>
            <w:vAlign w:val="center"/>
          </w:tcPr>
          <w:p w14:paraId="2312387F">
            <w:pPr>
              <w:spacing w:line="360" w:lineRule="exact"/>
              <w:rPr>
                <w:rFonts w:hint="eastAsia" w:ascii="宋体" w:hAnsi="宋体" w:cs="宋体"/>
                <w:b w:val="0"/>
                <w:bCs w:val="0"/>
                <w:color w:val="000000"/>
                <w:sz w:val="21"/>
                <w:szCs w:val="21"/>
                <w:lang w:eastAsia="zh-CN"/>
              </w:rPr>
            </w:pPr>
            <w:r>
              <w:rPr>
                <w:rFonts w:hint="eastAsia" w:ascii="宋体" w:hAnsi="宋体" w:eastAsia="宋体" w:cs="宋体"/>
                <w:b w:val="0"/>
                <w:bCs w:val="0"/>
                <w:color w:val="000000"/>
                <w:sz w:val="21"/>
                <w:szCs w:val="21"/>
              </w:rPr>
              <w:t>标准</w:t>
            </w:r>
            <w:r>
              <w:rPr>
                <w:rFonts w:hint="eastAsia" w:ascii="宋体" w:hAnsi="宋体" w:cs="宋体"/>
                <w:b w:val="0"/>
                <w:bCs w:val="0"/>
                <w:color w:val="000000"/>
                <w:sz w:val="21"/>
                <w:szCs w:val="21"/>
                <w:lang w:eastAsia="zh-CN"/>
              </w:rPr>
              <w:t>修订</w:t>
            </w:r>
            <w:r>
              <w:rPr>
                <w:rFonts w:hint="eastAsia" w:ascii="宋体" w:hAnsi="宋体" w:eastAsia="宋体" w:cs="宋体"/>
                <w:b w:val="0"/>
                <w:bCs w:val="0"/>
                <w:color w:val="000000"/>
                <w:sz w:val="21"/>
                <w:szCs w:val="21"/>
              </w:rPr>
              <w:t>工作组成员来自项目承担单位中国合格评定国家认可中心和参与单位</w:t>
            </w:r>
            <w:r>
              <w:rPr>
                <w:rFonts w:hint="eastAsia" w:ascii="宋体" w:hAnsi="宋体" w:cs="宋体"/>
                <w:b w:val="0"/>
                <w:bCs w:val="0"/>
                <w:color w:val="000000"/>
                <w:sz w:val="21"/>
                <w:szCs w:val="21"/>
                <w:lang w:eastAsia="zh-CN"/>
              </w:rPr>
              <w:t>复旦大学、四川大学、中国政法大学、司法鉴定科学研究院和北京市公安局等</w:t>
            </w:r>
            <w:r>
              <w:rPr>
                <w:rFonts w:hint="eastAsia" w:ascii="宋体" w:hAnsi="宋体" w:eastAsia="宋体" w:cs="宋体"/>
                <w:b w:val="0"/>
                <w:bCs w:val="0"/>
                <w:color w:val="000000"/>
                <w:sz w:val="21"/>
                <w:szCs w:val="21"/>
              </w:rPr>
              <w:t>组成</w:t>
            </w:r>
            <w:r>
              <w:rPr>
                <w:rFonts w:hint="eastAsia" w:ascii="宋体" w:hAnsi="宋体" w:cs="宋体"/>
                <w:b w:val="0"/>
                <w:bCs w:val="0"/>
                <w:color w:val="000000"/>
                <w:sz w:val="21"/>
                <w:szCs w:val="21"/>
                <w:lang w:eastAsia="zh-CN"/>
              </w:rPr>
              <w:t>。</w:t>
            </w:r>
          </w:p>
          <w:p w14:paraId="231EF23D">
            <w:pPr>
              <w:spacing w:line="360" w:lineRule="exact"/>
              <w:rPr>
                <w:rFonts w:ascii="宋体" w:hAnsi="宋体"/>
                <w:color w:val="000000"/>
                <w:szCs w:val="21"/>
              </w:rPr>
            </w:pPr>
            <w:r>
              <w:rPr>
                <w:rFonts w:hint="eastAsia" w:ascii="宋体" w:hAnsi="宋体" w:cs="宋体"/>
                <w:b w:val="0"/>
                <w:bCs w:val="0"/>
                <w:color w:val="000000"/>
                <w:sz w:val="21"/>
                <w:szCs w:val="21"/>
                <w:lang w:val="en-US" w:eastAsia="zh-CN"/>
              </w:rPr>
              <w:t>牵头单位负责组织协调标准修订的所有工作，并与起草组参与单位共同承担如下工作：</w:t>
            </w:r>
            <w:r>
              <w:rPr>
                <w:rFonts w:hint="eastAsia" w:ascii="宋体" w:hAnsi="宋体" w:eastAsia="宋体" w:cs="宋体"/>
                <w:b w:val="0"/>
                <w:bCs w:val="0"/>
                <w:color w:val="000000"/>
                <w:sz w:val="21"/>
                <w:szCs w:val="21"/>
              </w:rPr>
              <w:t xml:space="preserve"> 1.</w:t>
            </w:r>
            <w:r>
              <w:rPr>
                <w:rFonts w:ascii="Arial" w:hAnsi="Arial" w:eastAsia="宋体" w:cs="Arial"/>
                <w:b w:val="0"/>
                <w:bCs w:val="0"/>
                <w:color w:val="000000"/>
                <w:sz w:val="21"/>
                <w:szCs w:val="21"/>
              </w:rPr>
              <w:t xml:space="preserve"> </w:t>
            </w:r>
            <w:r>
              <w:rPr>
                <w:rFonts w:hint="eastAsia" w:ascii="宋体" w:hAnsi="宋体" w:eastAsia="宋体" w:cs="宋体"/>
                <w:b w:val="0"/>
                <w:bCs w:val="0"/>
                <w:color w:val="000000"/>
                <w:sz w:val="21"/>
                <w:szCs w:val="21"/>
              </w:rPr>
              <w:t>标准</w:t>
            </w:r>
            <w:r>
              <w:rPr>
                <w:rFonts w:hint="eastAsia" w:ascii="宋体" w:hAnsi="宋体" w:cs="宋体"/>
                <w:b w:val="0"/>
                <w:bCs w:val="0"/>
                <w:color w:val="000000"/>
                <w:sz w:val="21"/>
                <w:szCs w:val="21"/>
                <w:lang w:val="en-US" w:eastAsia="zh-CN"/>
              </w:rPr>
              <w:t>修订草案编写</w:t>
            </w:r>
            <w:r>
              <w:rPr>
                <w:rFonts w:hint="eastAsia" w:ascii="宋体" w:hAnsi="宋体" w:eastAsia="宋体" w:cs="宋体"/>
                <w:b w:val="0"/>
                <w:bCs w:val="0"/>
                <w:color w:val="000000"/>
                <w:sz w:val="21"/>
                <w:szCs w:val="21"/>
              </w:rPr>
              <w:t>； 2.</w:t>
            </w:r>
            <w:r>
              <w:rPr>
                <w:rFonts w:hint="default" w:ascii="Arial" w:hAnsi="Arial" w:eastAsia="宋体" w:cs="Arial"/>
                <w:b w:val="0"/>
                <w:bCs w:val="0"/>
                <w:color w:val="000000"/>
                <w:sz w:val="21"/>
                <w:szCs w:val="21"/>
              </w:rPr>
              <w:t xml:space="preserve"> </w:t>
            </w:r>
            <w:r>
              <w:rPr>
                <w:rFonts w:hint="eastAsia" w:ascii="宋体" w:hAnsi="宋体" w:eastAsia="宋体" w:cs="宋体"/>
                <w:b w:val="0"/>
                <w:bCs w:val="0"/>
                <w:color w:val="000000"/>
                <w:sz w:val="21"/>
                <w:szCs w:val="21"/>
              </w:rPr>
              <w:t>组织全国相关专家开展相关技术研讨； 3.</w:t>
            </w:r>
            <w:r>
              <w:rPr>
                <w:rFonts w:hint="default" w:ascii="Arial" w:hAnsi="Arial" w:eastAsia="宋体" w:cs="Arial"/>
                <w:b w:val="0"/>
                <w:bCs w:val="0"/>
                <w:color w:val="000000"/>
                <w:sz w:val="21"/>
                <w:szCs w:val="21"/>
              </w:rPr>
              <w:t xml:space="preserve"> </w:t>
            </w:r>
            <w:r>
              <w:rPr>
                <w:rFonts w:hint="eastAsia" w:ascii="宋体" w:hAnsi="宋体" w:eastAsia="宋体" w:cs="宋体"/>
                <w:b w:val="0"/>
                <w:bCs w:val="0"/>
                <w:color w:val="000000"/>
                <w:sz w:val="21"/>
                <w:szCs w:val="21"/>
              </w:rPr>
              <w:t>草案修改意见汇总处理； 4.</w:t>
            </w:r>
            <w:r>
              <w:rPr>
                <w:rFonts w:hint="default" w:ascii="Arial" w:hAnsi="Arial" w:eastAsia="宋体" w:cs="Arial"/>
                <w:b w:val="0"/>
                <w:bCs w:val="0"/>
                <w:color w:val="000000"/>
                <w:sz w:val="21"/>
                <w:szCs w:val="21"/>
              </w:rPr>
              <w:t xml:space="preserve"> </w:t>
            </w:r>
            <w:r>
              <w:rPr>
                <w:rFonts w:hint="eastAsia" w:ascii="宋体" w:hAnsi="宋体" w:eastAsia="宋体" w:cs="宋体"/>
                <w:b w:val="0"/>
                <w:bCs w:val="0"/>
                <w:color w:val="000000"/>
                <w:sz w:val="21"/>
                <w:szCs w:val="21"/>
              </w:rPr>
              <w:t>组织各行业各专业专家展开技术研讨和征求意见，保证标准的适用性和科学性； 5.</w:t>
            </w:r>
            <w:r>
              <w:rPr>
                <w:rFonts w:hint="default" w:ascii="Arial" w:hAnsi="Arial" w:eastAsia="宋体" w:cs="Arial"/>
                <w:b w:val="0"/>
                <w:bCs w:val="0"/>
                <w:color w:val="000000"/>
                <w:sz w:val="21"/>
                <w:szCs w:val="21"/>
              </w:rPr>
              <w:t xml:space="preserve"> </w:t>
            </w:r>
            <w:r>
              <w:rPr>
                <w:rFonts w:hint="eastAsia" w:ascii="宋体" w:hAnsi="宋体" w:eastAsia="宋体" w:cs="宋体"/>
                <w:b w:val="0"/>
                <w:bCs w:val="0"/>
                <w:color w:val="000000"/>
                <w:sz w:val="21"/>
                <w:szCs w:val="21"/>
              </w:rPr>
              <w:t>标准审定</w:t>
            </w:r>
            <w:r>
              <w:rPr>
                <w:rFonts w:hint="eastAsia" w:ascii="宋体" w:hAnsi="宋体" w:cs="宋体"/>
                <w:b w:val="0"/>
                <w:bCs w:val="0"/>
                <w:color w:val="000000"/>
                <w:sz w:val="21"/>
                <w:szCs w:val="21"/>
                <w:lang w:val="en-US" w:eastAsia="zh-CN"/>
              </w:rPr>
              <w:t>完善</w:t>
            </w:r>
            <w:r>
              <w:rPr>
                <w:rFonts w:hint="eastAsia" w:ascii="宋体" w:hAnsi="宋体" w:eastAsia="宋体" w:cs="宋体"/>
                <w:b w:val="0"/>
                <w:bCs w:val="0"/>
                <w:color w:val="000000"/>
                <w:sz w:val="21"/>
                <w:szCs w:val="21"/>
              </w:rPr>
              <w:t>和报批。</w:t>
            </w:r>
          </w:p>
        </w:tc>
      </w:tr>
      <w:tr w14:paraId="0061D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031" w:hRule="atLeast"/>
        </w:trPr>
        <w:tc>
          <w:tcPr>
            <w:tcW w:w="1794" w:type="dxa"/>
            <w:tcBorders>
              <w:top w:val="single" w:color="auto" w:sz="4" w:space="0"/>
              <w:bottom w:val="single" w:color="auto" w:sz="4" w:space="0"/>
            </w:tcBorders>
            <w:vAlign w:val="center"/>
          </w:tcPr>
          <w:p w14:paraId="6356A3DB">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2</w:t>
            </w:r>
            <w:r>
              <w:rPr>
                <w:rFonts w:ascii="宋体" w:hAnsi="宋体"/>
                <w:color w:val="000000"/>
                <w:szCs w:val="21"/>
              </w:rPr>
              <w:t xml:space="preserve"> </w:t>
            </w:r>
            <w:r>
              <w:rPr>
                <w:rFonts w:hint="eastAsia" w:ascii="宋体" w:hAnsi="宋体"/>
                <w:color w:val="000000"/>
                <w:szCs w:val="21"/>
              </w:rPr>
              <w:t>起草阶段</w:t>
            </w:r>
          </w:p>
        </w:tc>
        <w:tc>
          <w:tcPr>
            <w:tcW w:w="7831" w:type="dxa"/>
            <w:tcBorders>
              <w:bottom w:val="single" w:color="auto" w:sz="4" w:space="0"/>
            </w:tcBorders>
            <w:vAlign w:val="center"/>
          </w:tcPr>
          <w:p w14:paraId="6ECA88B8">
            <w:pPr>
              <w:rPr>
                <w:rFonts w:hint="eastAsia" w:ascii="宋体" w:hAnsi="宋体" w:cs="宋体"/>
                <w:color w:val="000000"/>
                <w:szCs w:val="21"/>
              </w:rPr>
            </w:pPr>
            <w:r>
              <w:rPr>
                <w:rFonts w:hint="eastAsia" w:ascii="宋体" w:hAnsi="宋体" w:cs="宋体"/>
                <w:color w:val="000000"/>
                <w:szCs w:val="21"/>
              </w:rPr>
              <w:t>本</w:t>
            </w:r>
            <w:r>
              <w:rPr>
                <w:rFonts w:hint="eastAsia" w:ascii="宋体" w:hAnsi="宋体" w:cs="宋体"/>
                <w:color w:val="000000"/>
                <w:szCs w:val="21"/>
                <w:lang w:val="en-US" w:eastAsia="zh-CN"/>
              </w:rPr>
              <w:t>项目</w:t>
            </w:r>
            <w:r>
              <w:rPr>
                <w:rFonts w:hint="eastAsia" w:ascii="宋体" w:hAnsi="宋体" w:cs="宋体"/>
                <w:color w:val="000000"/>
                <w:szCs w:val="21"/>
              </w:rPr>
              <w:t>于2022年6月立项，同年</w:t>
            </w:r>
            <w:r>
              <w:rPr>
                <w:rFonts w:hint="eastAsia" w:ascii="宋体" w:hAnsi="宋体" w:cs="宋体"/>
                <w:color w:val="000000"/>
                <w:szCs w:val="21"/>
                <w:lang w:val="en-US" w:eastAsia="zh-CN"/>
              </w:rPr>
              <w:t>12月和2023年4月</w:t>
            </w:r>
            <w:r>
              <w:rPr>
                <w:rFonts w:hint="eastAsia" w:ascii="宋体" w:hAnsi="宋体" w:cs="宋体"/>
                <w:color w:val="000000"/>
                <w:szCs w:val="21"/>
              </w:rPr>
              <w:t>召开</w:t>
            </w:r>
            <w:r>
              <w:rPr>
                <w:rFonts w:hint="eastAsia" w:ascii="宋体" w:hAnsi="宋体" w:cs="宋体"/>
                <w:color w:val="000000"/>
                <w:szCs w:val="21"/>
                <w:lang w:val="en-US" w:eastAsia="zh-CN"/>
              </w:rPr>
              <w:t>线上</w:t>
            </w:r>
            <w:r>
              <w:rPr>
                <w:rFonts w:hint="eastAsia" w:ascii="宋体" w:hAnsi="宋体" w:cs="宋体"/>
                <w:color w:val="000000"/>
                <w:szCs w:val="21"/>
              </w:rPr>
              <w:t>修订研讨会。因</w:t>
            </w:r>
            <w:r>
              <w:rPr>
                <w:rFonts w:hint="eastAsia" w:ascii="宋体" w:hAnsi="宋体" w:cs="宋体"/>
                <w:color w:val="000000"/>
                <w:szCs w:val="21"/>
                <w:lang w:eastAsia="zh-CN"/>
              </w:rPr>
              <w:t>国际</w:t>
            </w:r>
            <w:r>
              <w:rPr>
                <w:rFonts w:hint="eastAsia" w:ascii="宋体" w:hAnsi="宋体" w:cs="宋体"/>
                <w:color w:val="000000"/>
                <w:szCs w:val="21"/>
              </w:rPr>
              <w:t>标准ISO/IEC 17043</w:t>
            </w:r>
            <w:r>
              <w:rPr>
                <w:rFonts w:hint="eastAsia" w:ascii="宋体" w:hAnsi="宋体" w:cs="宋体"/>
                <w:color w:val="000000"/>
                <w:szCs w:val="21"/>
                <w:lang w:eastAsia="zh-CN"/>
              </w:rPr>
              <w:t>（</w:t>
            </w:r>
            <w:r>
              <w:rPr>
                <w:rFonts w:hint="eastAsia" w:ascii="宋体" w:hAnsi="宋体" w:cs="宋体"/>
                <w:color w:val="000000"/>
                <w:szCs w:val="21"/>
              </w:rPr>
              <w:t>2023年5月正式发布）在名称、结构、术语定义及内容上有较大变化，且本项目牵头单位同步牵头该国际标准的国标（GB/T 27043）转换工作（</w:t>
            </w:r>
            <w:r>
              <w:rPr>
                <w:rFonts w:hint="eastAsia" w:ascii="宋体" w:hAnsi="宋体" w:cs="宋体"/>
                <w:color w:val="000000"/>
                <w:szCs w:val="21"/>
                <w:lang w:eastAsia="zh-CN"/>
              </w:rPr>
              <w:t>于</w:t>
            </w:r>
            <w:r>
              <w:rPr>
                <w:rFonts w:hint="eastAsia" w:ascii="宋体" w:hAnsi="宋体" w:cs="宋体"/>
                <w:color w:val="000000"/>
                <w:szCs w:val="21"/>
              </w:rPr>
              <w:t>2025年8月发布），为确保与最新国际国内标准协调一致，项目组于2024年10月提出延期及增补起草组人员的申请并获批准。</w:t>
            </w:r>
          </w:p>
          <w:p w14:paraId="4CBD5739">
            <w:pPr>
              <w:rPr>
                <w:rFonts w:hint="default" w:ascii="宋体" w:hAnsi="宋体" w:eastAsia="方正仿宋简体"/>
                <w:color w:val="000000"/>
                <w:szCs w:val="21"/>
                <w:lang w:val="en-US" w:eastAsia="zh-CN"/>
              </w:rPr>
            </w:pPr>
            <w:r>
              <w:rPr>
                <w:rFonts w:hint="eastAsia" w:ascii="宋体" w:hAnsi="宋体" w:cs="宋体"/>
                <w:color w:val="000000"/>
                <w:szCs w:val="21"/>
              </w:rPr>
              <w:t>起草过程中，编写组以RB/T 194</w:t>
            </w:r>
            <w:r>
              <w:rPr>
                <w:rFonts w:hint="eastAsia" w:ascii="宋体" w:hAnsi="宋体" w:cs="宋体"/>
                <w:color w:val="000000"/>
                <w:szCs w:val="21"/>
                <w:lang w:val="en-US" w:eastAsia="zh-CN"/>
              </w:rPr>
              <w:t>-</w:t>
            </w:r>
            <w:r>
              <w:rPr>
                <w:rFonts w:hint="eastAsia" w:ascii="宋体" w:hAnsi="宋体" w:cs="宋体"/>
                <w:color w:val="000000"/>
                <w:szCs w:val="21"/>
              </w:rPr>
              <w:t>2015《法医DNA鉴定能力验证实施指南》主体技术内容为基础，结合RB/T 060《司法鉴定/法庭科学领域》系列标准统一框架，参考新版ISO/IEC 17043及GB/T 27043技术要求，于2025年9月、10月组织两次集中编写修订会议，重点对术语定义、人员技术、结果评价等内容进行修订，并根据行业专家意见拟变更标准名称。最终于2025年10月21日形成《司法鉴定/法庭科学领域能力验证实施指南 第8部分 法医物证鉴定》征求意见稿，公开征求意见。</w:t>
            </w:r>
          </w:p>
        </w:tc>
      </w:tr>
      <w:tr w14:paraId="4DA83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947" w:hRule="atLeast"/>
        </w:trPr>
        <w:tc>
          <w:tcPr>
            <w:tcW w:w="1794" w:type="dxa"/>
            <w:tcBorders>
              <w:top w:val="single" w:color="auto" w:sz="4" w:space="0"/>
              <w:bottom w:val="single" w:color="auto" w:sz="6" w:space="0"/>
            </w:tcBorders>
            <w:vAlign w:val="center"/>
          </w:tcPr>
          <w:p w14:paraId="64BA96DE">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3</w:t>
            </w:r>
            <w:r>
              <w:rPr>
                <w:rFonts w:ascii="宋体" w:hAnsi="宋体"/>
                <w:color w:val="000000"/>
                <w:szCs w:val="21"/>
              </w:rPr>
              <w:t xml:space="preserve"> </w:t>
            </w:r>
            <w:r>
              <w:rPr>
                <w:rFonts w:hint="eastAsia" w:ascii="宋体" w:hAnsi="宋体"/>
                <w:color w:val="000000"/>
                <w:szCs w:val="21"/>
              </w:rPr>
              <w:t>征求意见阶段</w:t>
            </w:r>
          </w:p>
        </w:tc>
        <w:tc>
          <w:tcPr>
            <w:tcW w:w="7831" w:type="dxa"/>
            <w:tcBorders>
              <w:top w:val="single" w:color="auto" w:sz="4" w:space="0"/>
              <w:bottom w:val="single" w:color="auto" w:sz="6" w:space="0"/>
            </w:tcBorders>
            <w:vAlign w:val="center"/>
          </w:tcPr>
          <w:p w14:paraId="487D236E">
            <w:pPr>
              <w:jc w:val="left"/>
              <w:rPr>
                <w:rFonts w:ascii="宋体" w:hAnsi="宋体"/>
                <w:color w:val="000000"/>
                <w:szCs w:val="21"/>
              </w:rPr>
            </w:pPr>
          </w:p>
        </w:tc>
      </w:tr>
      <w:tr w14:paraId="4B6A2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947" w:hRule="atLeast"/>
        </w:trPr>
        <w:tc>
          <w:tcPr>
            <w:tcW w:w="1794" w:type="dxa"/>
            <w:tcBorders>
              <w:top w:val="single" w:color="auto" w:sz="6" w:space="0"/>
              <w:bottom w:val="single" w:color="auto" w:sz="6" w:space="0"/>
            </w:tcBorders>
            <w:vAlign w:val="center"/>
          </w:tcPr>
          <w:p w14:paraId="561D4BF5">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4标准审定阶段</w:t>
            </w:r>
          </w:p>
        </w:tc>
        <w:tc>
          <w:tcPr>
            <w:tcW w:w="7831" w:type="dxa"/>
            <w:tcBorders>
              <w:top w:val="single" w:color="auto" w:sz="6" w:space="0"/>
              <w:bottom w:val="single" w:color="auto" w:sz="6" w:space="0"/>
            </w:tcBorders>
            <w:vAlign w:val="center"/>
          </w:tcPr>
          <w:p w14:paraId="0BD75689">
            <w:pPr>
              <w:jc w:val="left"/>
              <w:rPr>
                <w:rFonts w:ascii="宋体" w:hAnsi="宋体"/>
                <w:color w:val="000000"/>
                <w:szCs w:val="21"/>
              </w:rPr>
            </w:pPr>
          </w:p>
          <w:p w14:paraId="534E13E2">
            <w:pPr>
              <w:jc w:val="left"/>
              <w:rPr>
                <w:rFonts w:ascii="宋体" w:hAnsi="宋体"/>
                <w:color w:val="000000"/>
                <w:szCs w:val="21"/>
              </w:rPr>
            </w:pPr>
          </w:p>
          <w:p w14:paraId="421D42A4">
            <w:pPr>
              <w:jc w:val="left"/>
              <w:rPr>
                <w:rFonts w:ascii="宋体" w:hAnsi="宋体"/>
                <w:color w:val="000000"/>
                <w:szCs w:val="21"/>
              </w:rPr>
            </w:pPr>
          </w:p>
          <w:p w14:paraId="1CD8AB33">
            <w:pPr>
              <w:jc w:val="left"/>
              <w:rPr>
                <w:rFonts w:ascii="宋体" w:hAnsi="宋体"/>
                <w:color w:val="000000"/>
                <w:szCs w:val="21"/>
              </w:rPr>
            </w:pPr>
          </w:p>
        </w:tc>
      </w:tr>
    </w:tbl>
    <w:p w14:paraId="0D175A0C">
      <w:pPr>
        <w:rPr>
          <w:rFonts w:eastAsia="仿宋_GB2312"/>
          <w:b/>
          <w:color w:val="000000"/>
          <w:kern w:val="0"/>
          <w:sz w:val="32"/>
        </w:rPr>
      </w:pPr>
      <w:r>
        <w:rPr>
          <w:rFonts w:eastAsia="仿宋_GB2312"/>
          <w:b/>
          <w:color w:val="000000"/>
          <w:kern w:val="0"/>
          <w:sz w:val="32"/>
        </w:rPr>
        <w:br w:type="page"/>
      </w:r>
    </w:p>
    <w:tbl>
      <w:tblPr>
        <w:tblStyle w:val="2"/>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625"/>
      </w:tblGrid>
      <w:tr w14:paraId="0BF98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13" w:hRule="atLeast"/>
        </w:trPr>
        <w:tc>
          <w:tcPr>
            <w:tcW w:w="9625" w:type="dxa"/>
            <w:tcBorders>
              <w:top w:val="nil"/>
              <w:left w:val="nil"/>
              <w:bottom w:val="single" w:color="auto" w:sz="4" w:space="0"/>
              <w:right w:val="nil"/>
            </w:tcBorders>
            <w:vAlign w:val="center"/>
          </w:tcPr>
          <w:p w14:paraId="159D8E72">
            <w:pPr>
              <w:rPr>
                <w:rFonts w:ascii="宋体" w:hAnsi="宋体"/>
                <w:b/>
                <w:color w:val="000000"/>
                <w:szCs w:val="21"/>
              </w:rPr>
            </w:pPr>
            <w:r>
              <w:rPr>
                <w:rFonts w:hint="eastAsia" w:ascii="宋体" w:hAnsi="宋体"/>
                <w:b/>
                <w:color w:val="000000"/>
                <w:szCs w:val="21"/>
              </w:rPr>
              <w:t>4  主要技术内容的确定</w:t>
            </w:r>
          </w:p>
        </w:tc>
      </w:tr>
      <w:tr w14:paraId="513BD0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1432" w:hRule="atLeast"/>
        </w:trPr>
        <w:tc>
          <w:tcPr>
            <w:tcW w:w="9625" w:type="dxa"/>
            <w:tcBorders>
              <w:top w:val="single" w:color="auto" w:sz="4" w:space="0"/>
              <w:left w:val="single" w:color="auto" w:sz="4" w:space="0"/>
              <w:bottom w:val="single" w:color="auto" w:sz="4" w:space="0"/>
              <w:right w:val="single" w:color="auto" w:sz="4" w:space="0"/>
            </w:tcBorders>
            <w:vAlign w:val="center"/>
          </w:tcPr>
          <w:p w14:paraId="13A6833D">
            <w:pPr>
              <w:rPr>
                <w:rFonts w:ascii="宋体" w:hAnsi="宋体"/>
                <w:color w:val="000000"/>
                <w:szCs w:val="21"/>
              </w:rPr>
            </w:pPr>
            <w:r>
              <w:rPr>
                <w:rFonts w:hint="default" w:ascii="宋体" w:hAnsi="宋体" w:cs="宋体"/>
                <w:color w:val="000000"/>
                <w:szCs w:val="21"/>
              </w:rPr>
              <w:t>项目组以RB/T 194</w:t>
            </w:r>
            <w:r>
              <w:rPr>
                <w:rFonts w:hint="eastAsia" w:ascii="宋体" w:hAnsi="宋体" w:cs="宋体"/>
                <w:color w:val="000000"/>
                <w:szCs w:val="21"/>
                <w:lang w:val="en-US" w:eastAsia="zh-CN"/>
              </w:rPr>
              <w:t>-</w:t>
            </w:r>
            <w:r>
              <w:rPr>
                <w:rFonts w:hint="default" w:ascii="宋体" w:hAnsi="宋体" w:cs="宋体"/>
                <w:color w:val="000000"/>
                <w:szCs w:val="21"/>
              </w:rPr>
              <w:t>2015《法医DNA鉴定能力验证实施指南》主体技术内容为基础，结合国内外法医物证能力验证技术发展进展，对标准主要技术内容进行确定。其中，重点针对术语定义、人员要求、结果评价等关键内容开展重要修订；同时，依据多名行业专家意见及法医物证鉴定能力验证技术发展方向，拟对标准名称进行规范调整。本次公开征求意见将重点关注上述技术内容修订及名称变更情况，并根据反馈做相应完善。</w:t>
            </w:r>
          </w:p>
        </w:tc>
      </w:tr>
    </w:tbl>
    <w:p w14:paraId="646AA2D5">
      <w:pPr>
        <w:rPr>
          <w:rFonts w:eastAsia="仿宋_GB2312"/>
          <w:b/>
          <w:color w:val="000000"/>
          <w:kern w:val="0"/>
          <w:sz w:val="32"/>
        </w:rPr>
      </w:pPr>
      <w:r>
        <w:rPr>
          <w:rFonts w:eastAsia="仿宋_GB2312"/>
          <w:b/>
          <w:color w:val="000000"/>
          <w:kern w:val="0"/>
          <w:sz w:val="32"/>
        </w:rPr>
        <w:br w:type="page"/>
      </w:r>
    </w:p>
    <w:tbl>
      <w:tblPr>
        <w:tblStyle w:val="2"/>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800"/>
        <w:gridCol w:w="6"/>
        <w:gridCol w:w="2354"/>
        <w:gridCol w:w="2814"/>
        <w:gridCol w:w="2651"/>
      </w:tblGrid>
      <w:tr w14:paraId="50FE1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0" w:hRule="atLeast"/>
        </w:trPr>
        <w:tc>
          <w:tcPr>
            <w:tcW w:w="9625" w:type="dxa"/>
            <w:gridSpan w:val="5"/>
            <w:tcBorders>
              <w:top w:val="nil"/>
              <w:left w:val="nil"/>
              <w:bottom w:val="nil"/>
              <w:right w:val="nil"/>
            </w:tcBorders>
            <w:vAlign w:val="center"/>
          </w:tcPr>
          <w:p w14:paraId="3A88D93B">
            <w:pPr>
              <w:rPr>
                <w:rFonts w:ascii="宋体" w:hAnsi="宋体"/>
                <w:b/>
                <w:color w:val="000000"/>
                <w:szCs w:val="21"/>
              </w:rPr>
            </w:pPr>
            <w:r>
              <w:rPr>
                <w:rFonts w:hint="eastAsia" w:ascii="宋体" w:hAnsi="宋体"/>
                <w:b/>
                <w:color w:val="000000"/>
                <w:szCs w:val="21"/>
              </w:rPr>
              <w:t>5  验证情况（适用于方法类标准）</w:t>
            </w:r>
          </w:p>
        </w:tc>
      </w:tr>
      <w:tr w14:paraId="56C29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85" w:hRule="atLeast"/>
        </w:trPr>
        <w:tc>
          <w:tcPr>
            <w:tcW w:w="1800" w:type="dxa"/>
            <w:vMerge w:val="restart"/>
            <w:tcBorders>
              <w:top w:val="single" w:color="auto" w:sz="4" w:space="0"/>
              <w:left w:val="single" w:color="auto" w:sz="4" w:space="0"/>
              <w:right w:val="single" w:color="auto" w:sz="4" w:space="0"/>
            </w:tcBorders>
            <w:vAlign w:val="center"/>
          </w:tcPr>
          <w:p w14:paraId="6076B96E">
            <w:pPr>
              <w:ind w:left="141" w:leftChars="67" w:right="48" w:rightChars="23"/>
              <w:rPr>
                <w:rFonts w:ascii="宋体" w:hAnsi="宋体"/>
                <w:color w:val="000000"/>
                <w:szCs w:val="21"/>
              </w:rPr>
            </w:pPr>
            <w:r>
              <w:rPr>
                <w:rFonts w:ascii="宋体" w:hAnsi="宋体"/>
                <w:color w:val="000000"/>
                <w:szCs w:val="21"/>
              </w:rPr>
              <w:t>5.1 验证单位情况</w:t>
            </w: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058E6A44">
            <w:pPr>
              <w:ind w:left="141" w:leftChars="67" w:right="48" w:rightChars="23"/>
              <w:jc w:val="center"/>
              <w:rPr>
                <w:rFonts w:ascii="宋体" w:hAnsi="宋体"/>
                <w:color w:val="000000"/>
                <w:szCs w:val="21"/>
              </w:rPr>
            </w:pPr>
            <w:r>
              <w:rPr>
                <w:rFonts w:ascii="宋体" w:hAnsi="宋体"/>
                <w:color w:val="000000"/>
                <w:szCs w:val="21"/>
              </w:rPr>
              <w:t>验证单位</w:t>
            </w:r>
          </w:p>
        </w:tc>
        <w:tc>
          <w:tcPr>
            <w:tcW w:w="2814" w:type="dxa"/>
            <w:tcBorders>
              <w:top w:val="single" w:color="auto" w:sz="4" w:space="0"/>
              <w:left w:val="single" w:color="auto" w:sz="4" w:space="0"/>
              <w:bottom w:val="single" w:color="auto" w:sz="4" w:space="0"/>
              <w:right w:val="single" w:color="auto" w:sz="4" w:space="0"/>
            </w:tcBorders>
            <w:vAlign w:val="center"/>
          </w:tcPr>
          <w:p w14:paraId="36172788">
            <w:pPr>
              <w:jc w:val="center"/>
              <w:rPr>
                <w:rFonts w:ascii="宋体" w:hAnsi="宋体"/>
                <w:color w:val="000000"/>
                <w:szCs w:val="21"/>
              </w:rPr>
            </w:pPr>
            <w:r>
              <w:rPr>
                <w:rFonts w:ascii="宋体" w:hAnsi="宋体"/>
                <w:color w:val="000000"/>
                <w:szCs w:val="21"/>
              </w:rPr>
              <w:t>验证人员</w:t>
            </w:r>
          </w:p>
        </w:tc>
        <w:tc>
          <w:tcPr>
            <w:tcW w:w="2651" w:type="dxa"/>
            <w:tcBorders>
              <w:top w:val="single" w:color="auto" w:sz="4" w:space="0"/>
              <w:left w:val="single" w:color="auto" w:sz="4" w:space="0"/>
              <w:bottom w:val="single" w:color="auto" w:sz="4" w:space="0"/>
              <w:right w:val="single" w:color="auto" w:sz="4" w:space="0"/>
            </w:tcBorders>
            <w:vAlign w:val="center"/>
          </w:tcPr>
          <w:p w14:paraId="3637452C">
            <w:pPr>
              <w:jc w:val="center"/>
              <w:rPr>
                <w:rFonts w:ascii="宋体" w:hAnsi="宋体"/>
                <w:color w:val="000000"/>
                <w:szCs w:val="21"/>
              </w:rPr>
            </w:pPr>
            <w:r>
              <w:rPr>
                <w:rFonts w:ascii="宋体" w:hAnsi="宋体"/>
                <w:color w:val="000000"/>
                <w:szCs w:val="21"/>
              </w:rPr>
              <w:t>验证时间</w:t>
            </w:r>
          </w:p>
        </w:tc>
      </w:tr>
      <w:tr w14:paraId="31F74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14:paraId="2B1597F8">
            <w:pPr>
              <w:ind w:left="141" w:leftChars="67" w:right="48" w:rightChars="23"/>
              <w:jc w:val="center"/>
              <w:rPr>
                <w:rFonts w:ascii="宋体" w:hAnsi="宋体"/>
                <w:color w:val="000000"/>
                <w:szCs w:val="21"/>
              </w:rPr>
            </w:pP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1AD50BD7">
            <w:pPr>
              <w:ind w:left="141" w:leftChars="67" w:right="48" w:rightChars="23"/>
              <w:jc w:val="center"/>
              <w:rPr>
                <w:rFonts w:ascii="宋体" w:hAnsi="宋体"/>
                <w:color w:val="000000"/>
                <w:szCs w:val="21"/>
              </w:rPr>
            </w:pPr>
          </w:p>
        </w:tc>
        <w:tc>
          <w:tcPr>
            <w:tcW w:w="2814" w:type="dxa"/>
            <w:tcBorders>
              <w:top w:val="single" w:color="auto" w:sz="4" w:space="0"/>
              <w:left w:val="single" w:color="auto" w:sz="4" w:space="0"/>
              <w:bottom w:val="single" w:color="auto" w:sz="4" w:space="0"/>
              <w:right w:val="single" w:color="auto" w:sz="4" w:space="0"/>
            </w:tcBorders>
            <w:vAlign w:val="center"/>
          </w:tcPr>
          <w:p w14:paraId="0A4DAD89">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vAlign w:val="center"/>
          </w:tcPr>
          <w:p w14:paraId="3DB7B6C4">
            <w:pPr>
              <w:wordWrap w:val="0"/>
              <w:jc w:val="right"/>
              <w:rPr>
                <w:rFonts w:ascii="宋体" w:hAnsi="宋体"/>
                <w:color w:val="000000"/>
                <w:szCs w:val="21"/>
              </w:rPr>
            </w:pPr>
            <w:r>
              <w:rPr>
                <w:rFonts w:ascii="宋体" w:hAnsi="宋体"/>
                <w:color w:val="000000"/>
                <w:szCs w:val="21"/>
              </w:rPr>
              <w:t xml:space="preserve"> 年    月   日</w:t>
            </w:r>
          </w:p>
        </w:tc>
      </w:tr>
      <w:tr w14:paraId="693A5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14:paraId="4B1201ED">
            <w:pPr>
              <w:ind w:left="141" w:leftChars="67" w:right="48" w:rightChars="23"/>
              <w:jc w:val="center"/>
              <w:rPr>
                <w:rFonts w:ascii="宋体" w:hAnsi="宋体"/>
                <w:color w:val="000000"/>
                <w:szCs w:val="21"/>
              </w:rPr>
            </w:pP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414653D7">
            <w:pPr>
              <w:ind w:left="141" w:leftChars="67" w:right="48" w:rightChars="23"/>
              <w:jc w:val="center"/>
              <w:rPr>
                <w:rFonts w:ascii="宋体" w:hAnsi="宋体"/>
                <w:color w:val="000000"/>
                <w:szCs w:val="21"/>
              </w:rPr>
            </w:pPr>
          </w:p>
        </w:tc>
        <w:tc>
          <w:tcPr>
            <w:tcW w:w="2814" w:type="dxa"/>
            <w:tcBorders>
              <w:top w:val="single" w:color="auto" w:sz="4" w:space="0"/>
              <w:left w:val="single" w:color="auto" w:sz="4" w:space="0"/>
              <w:bottom w:val="single" w:color="auto" w:sz="4" w:space="0"/>
              <w:right w:val="single" w:color="auto" w:sz="4" w:space="0"/>
            </w:tcBorders>
            <w:vAlign w:val="center"/>
          </w:tcPr>
          <w:p w14:paraId="5AB1740D">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0D2D7FFE">
            <w:pPr>
              <w:jc w:val="right"/>
              <w:rPr>
                <w:rFonts w:ascii="宋体" w:hAnsi="宋体"/>
                <w:color w:val="000000"/>
                <w:szCs w:val="21"/>
              </w:rPr>
            </w:pPr>
            <w:r>
              <w:rPr>
                <w:rFonts w:ascii="宋体" w:hAnsi="宋体"/>
                <w:color w:val="000000"/>
                <w:szCs w:val="21"/>
              </w:rPr>
              <w:t>年    月   日</w:t>
            </w:r>
          </w:p>
        </w:tc>
      </w:tr>
      <w:tr w14:paraId="1C7C4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14:paraId="05D9999B">
            <w:pPr>
              <w:ind w:left="141" w:leftChars="67" w:right="48" w:rightChars="23"/>
              <w:jc w:val="center"/>
              <w:rPr>
                <w:rFonts w:ascii="宋体" w:hAnsi="宋体"/>
                <w:color w:val="000000"/>
                <w:szCs w:val="21"/>
              </w:rPr>
            </w:pP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4151011F">
            <w:pPr>
              <w:ind w:left="141" w:leftChars="67" w:right="48" w:rightChars="23"/>
              <w:jc w:val="center"/>
              <w:rPr>
                <w:rFonts w:ascii="宋体" w:hAnsi="宋体"/>
                <w:color w:val="000000"/>
                <w:szCs w:val="21"/>
              </w:rPr>
            </w:pPr>
          </w:p>
        </w:tc>
        <w:tc>
          <w:tcPr>
            <w:tcW w:w="2814" w:type="dxa"/>
            <w:tcBorders>
              <w:top w:val="single" w:color="auto" w:sz="4" w:space="0"/>
              <w:left w:val="single" w:color="auto" w:sz="4" w:space="0"/>
              <w:bottom w:val="single" w:color="auto" w:sz="4" w:space="0"/>
              <w:right w:val="single" w:color="auto" w:sz="4" w:space="0"/>
            </w:tcBorders>
            <w:vAlign w:val="center"/>
          </w:tcPr>
          <w:p w14:paraId="6B756D61">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2D2651E8">
            <w:pPr>
              <w:jc w:val="right"/>
              <w:rPr>
                <w:rFonts w:ascii="宋体" w:hAnsi="宋体"/>
                <w:color w:val="000000"/>
                <w:szCs w:val="21"/>
              </w:rPr>
            </w:pPr>
            <w:r>
              <w:rPr>
                <w:rFonts w:ascii="宋体" w:hAnsi="宋体"/>
                <w:color w:val="000000"/>
                <w:szCs w:val="21"/>
              </w:rPr>
              <w:t>年    月   日</w:t>
            </w:r>
          </w:p>
        </w:tc>
      </w:tr>
      <w:tr w14:paraId="7A1B4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14:paraId="31EA5F4C">
            <w:pPr>
              <w:ind w:left="141" w:leftChars="67" w:right="48" w:rightChars="23"/>
              <w:jc w:val="center"/>
              <w:rPr>
                <w:rFonts w:ascii="宋体" w:hAnsi="宋体"/>
                <w:color w:val="000000"/>
                <w:szCs w:val="21"/>
              </w:rPr>
            </w:pP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44277F72">
            <w:pPr>
              <w:ind w:left="141" w:leftChars="67" w:right="48" w:rightChars="23"/>
              <w:jc w:val="center"/>
              <w:rPr>
                <w:rFonts w:ascii="宋体" w:hAnsi="宋体"/>
                <w:color w:val="000000"/>
                <w:szCs w:val="21"/>
              </w:rPr>
            </w:pPr>
          </w:p>
        </w:tc>
        <w:tc>
          <w:tcPr>
            <w:tcW w:w="2814" w:type="dxa"/>
            <w:tcBorders>
              <w:top w:val="single" w:color="auto" w:sz="4" w:space="0"/>
              <w:left w:val="single" w:color="auto" w:sz="4" w:space="0"/>
              <w:bottom w:val="single" w:color="auto" w:sz="4" w:space="0"/>
              <w:right w:val="single" w:color="auto" w:sz="4" w:space="0"/>
            </w:tcBorders>
            <w:vAlign w:val="center"/>
          </w:tcPr>
          <w:p w14:paraId="6AF214B6">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5F0DC0B5">
            <w:pPr>
              <w:jc w:val="right"/>
              <w:rPr>
                <w:rFonts w:ascii="宋体" w:hAnsi="宋体"/>
                <w:color w:val="000000"/>
                <w:szCs w:val="21"/>
              </w:rPr>
            </w:pPr>
            <w:r>
              <w:rPr>
                <w:rFonts w:ascii="宋体" w:hAnsi="宋体"/>
                <w:color w:val="000000"/>
                <w:szCs w:val="21"/>
              </w:rPr>
              <w:t>年    月   日</w:t>
            </w:r>
          </w:p>
        </w:tc>
      </w:tr>
      <w:tr w14:paraId="6867F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76"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13C774D3">
            <w:pPr>
              <w:ind w:left="141" w:leftChars="67" w:right="48" w:rightChars="23"/>
              <w:rPr>
                <w:rFonts w:ascii="宋体" w:hAnsi="宋体"/>
                <w:color w:val="000000"/>
                <w:szCs w:val="21"/>
              </w:rPr>
            </w:pPr>
            <w:r>
              <w:rPr>
                <w:rFonts w:ascii="宋体" w:hAnsi="宋体"/>
                <w:color w:val="000000"/>
                <w:szCs w:val="21"/>
              </w:rPr>
              <w:t>5.2 验证过程</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2D55C719">
            <w:pPr>
              <w:rPr>
                <w:rFonts w:ascii="宋体" w:hAnsi="宋体"/>
                <w:color w:val="000000"/>
                <w:szCs w:val="21"/>
              </w:rPr>
            </w:pPr>
          </w:p>
          <w:p w14:paraId="023FA24C">
            <w:pPr>
              <w:rPr>
                <w:rFonts w:ascii="宋体" w:hAnsi="宋体"/>
                <w:color w:val="000000"/>
                <w:szCs w:val="21"/>
              </w:rPr>
            </w:pPr>
          </w:p>
          <w:p w14:paraId="787E4806">
            <w:pPr>
              <w:rPr>
                <w:rFonts w:ascii="宋体" w:hAnsi="宋体"/>
                <w:color w:val="000000"/>
                <w:szCs w:val="21"/>
              </w:rPr>
            </w:pPr>
          </w:p>
          <w:p w14:paraId="25DEF9F7">
            <w:pPr>
              <w:rPr>
                <w:rFonts w:ascii="宋体" w:hAnsi="宋体"/>
                <w:color w:val="000000"/>
                <w:szCs w:val="21"/>
              </w:rPr>
            </w:pPr>
          </w:p>
          <w:p w14:paraId="1C432BFF">
            <w:pPr>
              <w:rPr>
                <w:rFonts w:ascii="宋体" w:hAnsi="宋体"/>
                <w:color w:val="000000"/>
                <w:szCs w:val="21"/>
              </w:rPr>
            </w:pPr>
          </w:p>
          <w:p w14:paraId="2951C67B">
            <w:pPr>
              <w:rPr>
                <w:rFonts w:ascii="宋体" w:hAnsi="宋体"/>
                <w:color w:val="000000"/>
                <w:szCs w:val="21"/>
              </w:rPr>
            </w:pPr>
          </w:p>
          <w:p w14:paraId="56F6AFAE">
            <w:pPr>
              <w:rPr>
                <w:rFonts w:ascii="宋体" w:hAnsi="宋体"/>
                <w:color w:val="000000"/>
                <w:szCs w:val="21"/>
              </w:rPr>
            </w:pPr>
          </w:p>
        </w:tc>
      </w:tr>
      <w:tr w14:paraId="554E3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698"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7E3FDE30">
            <w:pPr>
              <w:ind w:left="141" w:leftChars="67" w:right="48" w:rightChars="23"/>
              <w:rPr>
                <w:rFonts w:ascii="宋体" w:hAnsi="宋体"/>
                <w:color w:val="000000"/>
                <w:szCs w:val="21"/>
              </w:rPr>
            </w:pPr>
            <w:r>
              <w:rPr>
                <w:rFonts w:ascii="宋体" w:hAnsi="宋体"/>
                <w:color w:val="000000"/>
                <w:szCs w:val="21"/>
              </w:rPr>
              <w:t>5.3 验证数据分析</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4AA9E915">
            <w:pPr>
              <w:rPr>
                <w:rFonts w:ascii="宋体" w:hAnsi="宋体"/>
                <w:color w:val="000000"/>
                <w:szCs w:val="21"/>
              </w:rPr>
            </w:pPr>
          </w:p>
          <w:p w14:paraId="3ACBD825">
            <w:pPr>
              <w:rPr>
                <w:rFonts w:ascii="宋体" w:hAnsi="宋体"/>
                <w:color w:val="000000"/>
                <w:szCs w:val="21"/>
              </w:rPr>
            </w:pPr>
          </w:p>
          <w:p w14:paraId="2D3CA060">
            <w:pPr>
              <w:rPr>
                <w:rFonts w:ascii="宋体" w:hAnsi="宋体"/>
                <w:color w:val="000000"/>
                <w:szCs w:val="21"/>
              </w:rPr>
            </w:pPr>
          </w:p>
          <w:p w14:paraId="29DD00C3">
            <w:pPr>
              <w:rPr>
                <w:rFonts w:ascii="宋体" w:hAnsi="宋体"/>
                <w:color w:val="000000"/>
                <w:szCs w:val="21"/>
              </w:rPr>
            </w:pPr>
          </w:p>
          <w:p w14:paraId="1CC888CF">
            <w:pPr>
              <w:rPr>
                <w:rFonts w:ascii="宋体" w:hAnsi="宋体"/>
                <w:color w:val="000000"/>
                <w:szCs w:val="21"/>
              </w:rPr>
            </w:pPr>
          </w:p>
          <w:p w14:paraId="5FC8CBF3">
            <w:pPr>
              <w:rPr>
                <w:rFonts w:ascii="宋体" w:hAnsi="宋体"/>
                <w:color w:val="000000"/>
                <w:szCs w:val="21"/>
              </w:rPr>
            </w:pPr>
          </w:p>
          <w:p w14:paraId="223356CD">
            <w:pPr>
              <w:rPr>
                <w:rFonts w:ascii="宋体" w:hAnsi="宋体"/>
                <w:color w:val="000000"/>
                <w:szCs w:val="21"/>
              </w:rPr>
            </w:pPr>
          </w:p>
        </w:tc>
      </w:tr>
      <w:tr w14:paraId="61871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119"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2A24D3DA">
            <w:pPr>
              <w:ind w:left="141" w:leftChars="67" w:right="48" w:rightChars="23"/>
              <w:rPr>
                <w:rFonts w:ascii="宋体" w:hAnsi="宋体"/>
                <w:color w:val="000000"/>
                <w:szCs w:val="21"/>
              </w:rPr>
            </w:pPr>
            <w:r>
              <w:rPr>
                <w:rFonts w:ascii="宋体" w:hAnsi="宋体"/>
                <w:color w:val="000000"/>
                <w:szCs w:val="21"/>
              </w:rPr>
              <w:t>5.4 验证评价</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32824300">
            <w:pPr>
              <w:rPr>
                <w:rFonts w:ascii="宋体" w:hAnsi="宋体"/>
                <w:color w:val="000000"/>
                <w:szCs w:val="21"/>
              </w:rPr>
            </w:pPr>
          </w:p>
          <w:p w14:paraId="6241B4ED">
            <w:pPr>
              <w:rPr>
                <w:rFonts w:ascii="宋体" w:hAnsi="宋体"/>
                <w:color w:val="000000"/>
                <w:szCs w:val="21"/>
              </w:rPr>
            </w:pPr>
          </w:p>
          <w:p w14:paraId="7BD3D576">
            <w:pPr>
              <w:rPr>
                <w:rFonts w:ascii="宋体" w:hAnsi="宋体"/>
                <w:color w:val="000000"/>
                <w:szCs w:val="21"/>
              </w:rPr>
            </w:pPr>
          </w:p>
          <w:p w14:paraId="1A6640AC">
            <w:pPr>
              <w:rPr>
                <w:rFonts w:ascii="宋体" w:hAnsi="宋体"/>
                <w:color w:val="000000"/>
                <w:szCs w:val="21"/>
              </w:rPr>
            </w:pPr>
          </w:p>
          <w:p w14:paraId="7A3D0A4D">
            <w:pPr>
              <w:rPr>
                <w:rFonts w:ascii="宋体" w:hAnsi="宋体"/>
                <w:color w:val="000000"/>
                <w:szCs w:val="21"/>
              </w:rPr>
            </w:pPr>
          </w:p>
          <w:p w14:paraId="7422DDD5">
            <w:pPr>
              <w:rPr>
                <w:rFonts w:ascii="宋体" w:hAnsi="宋体"/>
                <w:color w:val="000000"/>
                <w:szCs w:val="21"/>
              </w:rPr>
            </w:pPr>
          </w:p>
          <w:p w14:paraId="2A6AFA76">
            <w:pPr>
              <w:rPr>
                <w:rFonts w:ascii="宋体" w:hAnsi="宋体"/>
                <w:color w:val="000000"/>
                <w:szCs w:val="21"/>
              </w:rPr>
            </w:pPr>
          </w:p>
        </w:tc>
      </w:tr>
      <w:tr w14:paraId="26FAB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97"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581E0E06">
            <w:pPr>
              <w:ind w:left="141" w:leftChars="67" w:right="48" w:rightChars="23"/>
              <w:rPr>
                <w:rFonts w:ascii="宋体" w:hAnsi="宋体"/>
                <w:color w:val="000000"/>
                <w:szCs w:val="21"/>
              </w:rPr>
            </w:pPr>
            <w:r>
              <w:rPr>
                <w:rFonts w:ascii="宋体" w:hAnsi="宋体"/>
                <w:color w:val="000000"/>
                <w:szCs w:val="21"/>
              </w:rPr>
              <w:t>5.5 其他应说明的情况</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707C830D">
            <w:pPr>
              <w:rPr>
                <w:rFonts w:ascii="宋体" w:hAnsi="宋体"/>
                <w:color w:val="000000"/>
                <w:szCs w:val="21"/>
              </w:rPr>
            </w:pPr>
          </w:p>
          <w:p w14:paraId="3718D663">
            <w:pPr>
              <w:rPr>
                <w:rFonts w:ascii="宋体" w:hAnsi="宋体"/>
                <w:color w:val="000000"/>
                <w:szCs w:val="21"/>
              </w:rPr>
            </w:pPr>
          </w:p>
          <w:p w14:paraId="67840DEA">
            <w:pPr>
              <w:rPr>
                <w:rFonts w:ascii="宋体" w:hAnsi="宋体"/>
                <w:color w:val="000000"/>
                <w:szCs w:val="21"/>
              </w:rPr>
            </w:pPr>
          </w:p>
          <w:p w14:paraId="675DADC4">
            <w:pPr>
              <w:rPr>
                <w:rFonts w:ascii="宋体" w:hAnsi="宋体"/>
                <w:color w:val="000000"/>
                <w:szCs w:val="21"/>
              </w:rPr>
            </w:pPr>
          </w:p>
          <w:p w14:paraId="1AA327BE">
            <w:pPr>
              <w:rPr>
                <w:rFonts w:ascii="宋体" w:hAnsi="宋体"/>
                <w:color w:val="000000"/>
                <w:szCs w:val="21"/>
              </w:rPr>
            </w:pPr>
          </w:p>
          <w:p w14:paraId="68F2193B">
            <w:pPr>
              <w:rPr>
                <w:rFonts w:ascii="宋体" w:hAnsi="宋体"/>
                <w:color w:val="000000"/>
                <w:szCs w:val="21"/>
              </w:rPr>
            </w:pPr>
          </w:p>
          <w:p w14:paraId="14F885BC">
            <w:pPr>
              <w:rPr>
                <w:rFonts w:ascii="宋体" w:hAnsi="宋体"/>
                <w:color w:val="000000"/>
                <w:szCs w:val="21"/>
              </w:rPr>
            </w:pPr>
          </w:p>
          <w:p w14:paraId="4A44C05C">
            <w:pPr>
              <w:rPr>
                <w:rFonts w:ascii="宋体" w:hAnsi="宋体"/>
                <w:color w:val="000000"/>
                <w:szCs w:val="21"/>
              </w:rPr>
            </w:pPr>
          </w:p>
        </w:tc>
      </w:tr>
    </w:tbl>
    <w:p w14:paraId="7FB68649">
      <w:r>
        <w:br w:type="page"/>
      </w:r>
    </w:p>
    <w:tbl>
      <w:tblPr>
        <w:tblStyle w:val="2"/>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6"/>
        <w:gridCol w:w="1288"/>
        <w:gridCol w:w="1080"/>
        <w:gridCol w:w="1620"/>
        <w:gridCol w:w="1440"/>
        <w:gridCol w:w="2397"/>
      </w:tblGrid>
      <w:tr w14:paraId="78C2E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8" w:hRule="atLeast"/>
        </w:trPr>
        <w:tc>
          <w:tcPr>
            <w:tcW w:w="9625" w:type="dxa"/>
            <w:gridSpan w:val="7"/>
            <w:tcBorders>
              <w:top w:val="nil"/>
              <w:left w:val="nil"/>
              <w:bottom w:val="nil"/>
              <w:right w:val="nil"/>
            </w:tcBorders>
            <w:vAlign w:val="center"/>
          </w:tcPr>
          <w:p w14:paraId="2EDB0DB5">
            <w:pPr>
              <w:rPr>
                <w:rFonts w:ascii="宋体" w:hAnsi="宋体"/>
                <w:b/>
                <w:color w:val="000000"/>
                <w:szCs w:val="21"/>
              </w:rPr>
            </w:pPr>
            <w:r>
              <w:rPr>
                <w:rFonts w:hint="eastAsia" w:ascii="宋体" w:hAnsi="宋体"/>
                <w:b/>
                <w:color w:val="000000"/>
                <w:szCs w:val="21"/>
              </w:rPr>
              <w:t>6  附加说明（可选项）</w:t>
            </w:r>
          </w:p>
        </w:tc>
      </w:tr>
      <w:tr w14:paraId="7C373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173" w:hRule="atLeast"/>
        </w:trPr>
        <w:tc>
          <w:tcPr>
            <w:tcW w:w="1794" w:type="dxa"/>
            <w:tcBorders>
              <w:top w:val="single" w:color="auto" w:sz="4" w:space="0"/>
              <w:left w:val="single" w:color="auto" w:sz="4" w:space="0"/>
              <w:bottom w:val="single" w:color="auto" w:sz="4" w:space="0"/>
              <w:right w:val="single" w:color="auto" w:sz="4" w:space="0"/>
            </w:tcBorders>
            <w:vAlign w:val="center"/>
          </w:tcPr>
          <w:p w14:paraId="04CCCA73">
            <w:pPr>
              <w:ind w:left="141" w:leftChars="67" w:right="176" w:rightChars="84"/>
              <w:rPr>
                <w:rFonts w:ascii="宋体" w:hAnsi="宋体"/>
                <w:color w:val="000000"/>
                <w:szCs w:val="21"/>
              </w:rPr>
            </w:pPr>
            <w:r>
              <w:rPr>
                <w:rFonts w:ascii="宋体" w:hAnsi="宋体"/>
                <w:color w:val="000000"/>
                <w:szCs w:val="21"/>
              </w:rPr>
              <w:t>6.1 宣贯标准的建议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6CB4D7B7">
            <w:pPr>
              <w:rPr>
                <w:rFonts w:ascii="宋体" w:hAnsi="宋体"/>
                <w:color w:val="000000"/>
                <w:szCs w:val="21"/>
              </w:rPr>
            </w:pPr>
          </w:p>
        </w:tc>
      </w:tr>
      <w:tr w14:paraId="431227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006" w:hRule="atLeast"/>
        </w:trPr>
        <w:tc>
          <w:tcPr>
            <w:tcW w:w="1794" w:type="dxa"/>
            <w:tcBorders>
              <w:top w:val="single" w:color="auto" w:sz="4" w:space="0"/>
              <w:left w:val="single" w:color="auto" w:sz="4" w:space="0"/>
              <w:bottom w:val="single" w:color="auto" w:sz="4" w:space="0"/>
              <w:right w:val="single" w:color="auto" w:sz="4" w:space="0"/>
            </w:tcBorders>
            <w:vAlign w:val="center"/>
          </w:tcPr>
          <w:p w14:paraId="3BA695B1">
            <w:pPr>
              <w:ind w:left="141" w:leftChars="67" w:right="176" w:rightChars="84"/>
              <w:rPr>
                <w:rFonts w:ascii="宋体" w:hAnsi="宋体"/>
                <w:color w:val="000000"/>
                <w:szCs w:val="21"/>
              </w:rPr>
            </w:pPr>
            <w:r>
              <w:rPr>
                <w:rFonts w:ascii="宋体" w:hAnsi="宋体"/>
                <w:color w:val="000000"/>
                <w:szCs w:val="21"/>
              </w:rPr>
              <w:t>6.2 修订和废除现行有关标准的建议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4A0F3811">
            <w:pPr>
              <w:rPr>
                <w:rFonts w:ascii="宋体" w:hAnsi="宋体"/>
                <w:color w:val="000000"/>
                <w:szCs w:val="21"/>
              </w:rPr>
            </w:pPr>
          </w:p>
        </w:tc>
      </w:tr>
      <w:tr w14:paraId="7B51B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174" w:hRule="atLeast"/>
        </w:trPr>
        <w:tc>
          <w:tcPr>
            <w:tcW w:w="1794" w:type="dxa"/>
            <w:tcBorders>
              <w:top w:val="single" w:color="auto" w:sz="4" w:space="0"/>
              <w:left w:val="single" w:color="auto" w:sz="4" w:space="0"/>
              <w:bottom w:val="single" w:color="auto" w:sz="4" w:space="0"/>
              <w:right w:val="single" w:color="auto" w:sz="4" w:space="0"/>
            </w:tcBorders>
            <w:vAlign w:val="center"/>
          </w:tcPr>
          <w:p w14:paraId="588E9DD8">
            <w:pPr>
              <w:ind w:left="141" w:leftChars="67" w:right="176" w:rightChars="84"/>
              <w:rPr>
                <w:rFonts w:ascii="宋体" w:hAnsi="宋体"/>
                <w:color w:val="000000"/>
                <w:szCs w:val="21"/>
              </w:rPr>
            </w:pPr>
            <w:r>
              <w:rPr>
                <w:rFonts w:ascii="宋体" w:hAnsi="宋体"/>
                <w:color w:val="000000"/>
                <w:szCs w:val="21"/>
              </w:rPr>
              <w:t>6.</w:t>
            </w:r>
            <w:r>
              <w:rPr>
                <w:rFonts w:hint="eastAsia" w:ascii="宋体" w:hAnsi="宋体"/>
                <w:color w:val="000000"/>
                <w:szCs w:val="21"/>
              </w:rPr>
              <w:t>3</w:t>
            </w:r>
            <w:r>
              <w:rPr>
                <w:rFonts w:ascii="宋体" w:hAnsi="宋体"/>
                <w:color w:val="000000"/>
                <w:szCs w:val="21"/>
              </w:rPr>
              <w:t xml:space="preserve"> </w:t>
            </w:r>
            <w:r>
              <w:rPr>
                <w:rFonts w:hint="eastAsia" w:ascii="宋体" w:hAnsi="宋体"/>
                <w:color w:val="000000"/>
                <w:szCs w:val="21"/>
              </w:rPr>
              <w:t>重大分歧意见的处理经过和依据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43D6521D">
            <w:pPr>
              <w:rPr>
                <w:rFonts w:ascii="宋体" w:hAnsi="宋体"/>
                <w:color w:val="000000"/>
                <w:szCs w:val="21"/>
              </w:rPr>
            </w:pPr>
          </w:p>
        </w:tc>
      </w:tr>
      <w:tr w14:paraId="4297A4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028" w:hRule="atLeast"/>
        </w:trPr>
        <w:tc>
          <w:tcPr>
            <w:tcW w:w="1794" w:type="dxa"/>
            <w:tcBorders>
              <w:top w:val="single" w:color="auto" w:sz="4" w:space="0"/>
              <w:left w:val="single" w:color="auto" w:sz="4" w:space="0"/>
              <w:bottom w:val="single" w:color="auto" w:sz="4" w:space="0"/>
              <w:right w:val="single" w:color="auto" w:sz="4" w:space="0"/>
            </w:tcBorders>
            <w:vAlign w:val="center"/>
          </w:tcPr>
          <w:p w14:paraId="3864E522">
            <w:pPr>
              <w:ind w:left="141" w:leftChars="67" w:right="176" w:rightChars="84"/>
              <w:rPr>
                <w:rFonts w:ascii="宋体" w:hAnsi="宋体"/>
                <w:color w:val="000000"/>
                <w:szCs w:val="21"/>
              </w:rPr>
            </w:pPr>
            <w:r>
              <w:rPr>
                <w:rFonts w:ascii="宋体" w:hAnsi="宋体"/>
                <w:color w:val="000000"/>
                <w:szCs w:val="21"/>
              </w:rPr>
              <w:t>6.4 其他需要说明的情况</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0DAA7DAB">
            <w:pPr>
              <w:rPr>
                <w:rFonts w:ascii="宋体" w:hAnsi="宋体"/>
                <w:color w:val="000000"/>
                <w:szCs w:val="21"/>
              </w:rPr>
            </w:pPr>
          </w:p>
        </w:tc>
      </w:tr>
      <w:tr w14:paraId="28CFD0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21" w:hRule="atLeast"/>
        </w:trPr>
        <w:tc>
          <w:tcPr>
            <w:tcW w:w="1794" w:type="dxa"/>
            <w:tcBorders>
              <w:top w:val="single" w:color="auto" w:sz="4" w:space="0"/>
              <w:left w:val="single" w:color="auto" w:sz="4" w:space="0"/>
              <w:bottom w:val="single" w:color="auto" w:sz="4" w:space="0"/>
              <w:right w:val="single" w:color="auto" w:sz="4" w:space="0"/>
            </w:tcBorders>
            <w:vAlign w:val="center"/>
          </w:tcPr>
          <w:p w14:paraId="3384D0B8">
            <w:pPr>
              <w:ind w:left="141" w:leftChars="67" w:right="176" w:rightChars="84"/>
              <w:rPr>
                <w:rFonts w:ascii="宋体" w:hAnsi="宋体"/>
                <w:color w:val="000000"/>
                <w:szCs w:val="21"/>
              </w:rPr>
            </w:pPr>
            <w:r>
              <w:rPr>
                <w:rFonts w:ascii="宋体" w:hAnsi="宋体"/>
                <w:color w:val="000000"/>
                <w:szCs w:val="21"/>
              </w:rPr>
              <w:t>6.5 参考文献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5F5CE895">
            <w:pPr>
              <w:rPr>
                <w:rFonts w:ascii="宋体" w:hAnsi="宋体"/>
                <w:color w:val="000000"/>
                <w:szCs w:val="21"/>
              </w:rPr>
            </w:pPr>
          </w:p>
        </w:tc>
      </w:tr>
      <w:tr w14:paraId="04797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1800" w:type="dxa"/>
            <w:gridSpan w:val="2"/>
            <w:tcBorders>
              <w:top w:val="single" w:color="auto" w:sz="4" w:space="0"/>
              <w:left w:val="single" w:color="auto" w:sz="4" w:space="0"/>
              <w:bottom w:val="single" w:color="auto" w:sz="4" w:space="0"/>
              <w:right w:val="single" w:color="auto" w:sz="4" w:space="0"/>
            </w:tcBorders>
            <w:vAlign w:val="center"/>
          </w:tcPr>
          <w:p w14:paraId="70ABF849">
            <w:pPr>
              <w:jc w:val="center"/>
              <w:rPr>
                <w:rFonts w:ascii="宋体" w:hAnsi="宋体"/>
                <w:color w:val="000000"/>
                <w:szCs w:val="21"/>
              </w:rPr>
            </w:pPr>
            <w:r>
              <w:rPr>
                <w:rFonts w:ascii="宋体" w:hAnsi="宋体"/>
                <w:color w:val="000000"/>
                <w:szCs w:val="21"/>
              </w:rPr>
              <w:t>联系人</w:t>
            </w:r>
          </w:p>
        </w:tc>
        <w:tc>
          <w:tcPr>
            <w:tcW w:w="1288" w:type="dxa"/>
            <w:tcBorders>
              <w:top w:val="single" w:color="auto" w:sz="4" w:space="0"/>
              <w:left w:val="single" w:color="auto" w:sz="4" w:space="0"/>
              <w:bottom w:val="single" w:color="auto" w:sz="4" w:space="0"/>
              <w:right w:val="single" w:color="auto" w:sz="4" w:space="0"/>
            </w:tcBorders>
            <w:vAlign w:val="center"/>
          </w:tcPr>
          <w:p w14:paraId="7F7B2C62">
            <w:pPr>
              <w:jc w:val="center"/>
              <w:rPr>
                <w:rFonts w:hint="eastAsia" w:ascii="宋体" w:hAnsi="宋体"/>
                <w:color w:val="000000"/>
                <w:szCs w:val="21"/>
                <w:lang w:eastAsia="zh-CN"/>
              </w:rPr>
            </w:pPr>
            <w:r>
              <w:rPr>
                <w:rFonts w:hint="eastAsia" w:ascii="宋体" w:hAnsi="宋体"/>
                <w:color w:val="000000"/>
                <w:szCs w:val="21"/>
                <w:lang w:eastAsia="zh-CN"/>
              </w:rPr>
              <w:t>贾汝静</w:t>
            </w:r>
          </w:p>
          <w:p w14:paraId="7F16D3E4">
            <w:pPr>
              <w:jc w:val="center"/>
              <w:rPr>
                <w:rFonts w:hint="eastAsia" w:ascii="宋体" w:hAnsi="宋体"/>
                <w:color w:val="000000"/>
                <w:szCs w:val="21"/>
                <w:lang w:eastAsia="zh-CN"/>
              </w:rPr>
            </w:pPr>
            <w:r>
              <w:rPr>
                <w:rFonts w:hint="eastAsia" w:ascii="宋体" w:hAnsi="宋体"/>
                <w:color w:val="000000"/>
                <w:szCs w:val="21"/>
                <w:lang w:eastAsia="zh-CN"/>
              </w:rPr>
              <w:t>鹿</w:t>
            </w:r>
            <w:r>
              <w:rPr>
                <w:rFonts w:hint="eastAsia" w:ascii="宋体" w:hAnsi="宋体"/>
                <w:color w:val="000000"/>
                <w:szCs w:val="21"/>
                <w:lang w:val="en-US" w:eastAsia="zh-CN"/>
              </w:rPr>
              <w:t xml:space="preserve">  </w:t>
            </w:r>
            <w:r>
              <w:rPr>
                <w:rFonts w:hint="eastAsia" w:ascii="宋体" w:hAnsi="宋体"/>
                <w:color w:val="000000"/>
                <w:szCs w:val="21"/>
                <w:lang w:eastAsia="zh-CN"/>
              </w:rPr>
              <w:t>阳</w:t>
            </w:r>
          </w:p>
        </w:tc>
        <w:tc>
          <w:tcPr>
            <w:tcW w:w="1080" w:type="dxa"/>
            <w:tcBorders>
              <w:top w:val="single" w:color="auto" w:sz="4" w:space="0"/>
              <w:left w:val="single" w:color="auto" w:sz="4" w:space="0"/>
              <w:bottom w:val="single" w:color="auto" w:sz="4" w:space="0"/>
              <w:right w:val="single" w:color="auto" w:sz="4" w:space="0"/>
            </w:tcBorders>
            <w:vAlign w:val="center"/>
          </w:tcPr>
          <w:p w14:paraId="687D3521">
            <w:pPr>
              <w:jc w:val="center"/>
              <w:rPr>
                <w:rFonts w:ascii="宋体" w:hAnsi="宋体"/>
                <w:color w:val="000000"/>
                <w:szCs w:val="21"/>
              </w:rPr>
            </w:pPr>
            <w:r>
              <w:rPr>
                <w:rFonts w:ascii="宋体" w:hAnsi="宋体"/>
                <w:color w:val="000000"/>
                <w:szCs w:val="21"/>
              </w:rPr>
              <w:t>联系电话</w:t>
            </w:r>
          </w:p>
        </w:tc>
        <w:tc>
          <w:tcPr>
            <w:tcW w:w="1620" w:type="dxa"/>
            <w:tcBorders>
              <w:top w:val="single" w:color="auto" w:sz="4" w:space="0"/>
              <w:left w:val="single" w:color="auto" w:sz="4" w:space="0"/>
              <w:bottom w:val="single" w:color="auto" w:sz="4" w:space="0"/>
              <w:right w:val="single" w:color="auto" w:sz="4" w:space="0"/>
            </w:tcBorders>
            <w:vAlign w:val="center"/>
          </w:tcPr>
          <w:p w14:paraId="752CAEB9">
            <w:pPr>
              <w:rPr>
                <w:rFonts w:hint="eastAsia" w:ascii="宋体" w:hAnsi="宋体"/>
                <w:color w:val="000000"/>
                <w:szCs w:val="21"/>
                <w:lang w:val="en-US" w:eastAsia="zh-CN"/>
              </w:rPr>
            </w:pPr>
            <w:r>
              <w:rPr>
                <w:rFonts w:hint="eastAsia" w:ascii="宋体" w:hAnsi="宋体"/>
                <w:color w:val="000000"/>
                <w:szCs w:val="21"/>
                <w:lang w:val="en-US" w:eastAsia="zh-CN"/>
              </w:rPr>
              <w:t>010-67105376</w:t>
            </w:r>
          </w:p>
          <w:p w14:paraId="13C84B7D">
            <w:pPr>
              <w:rPr>
                <w:rFonts w:hint="default" w:ascii="宋体" w:hAnsi="宋体"/>
                <w:color w:val="000000"/>
                <w:szCs w:val="21"/>
                <w:lang w:val="en-US" w:eastAsia="zh-CN"/>
              </w:rPr>
            </w:pPr>
            <w:r>
              <w:rPr>
                <w:rFonts w:hint="eastAsia" w:ascii="宋体" w:hAnsi="宋体"/>
                <w:color w:val="000000"/>
                <w:szCs w:val="21"/>
                <w:lang w:val="en-US" w:eastAsia="zh-CN"/>
              </w:rPr>
              <w:t>010-67105435</w:t>
            </w:r>
          </w:p>
        </w:tc>
        <w:tc>
          <w:tcPr>
            <w:tcW w:w="1440" w:type="dxa"/>
            <w:tcBorders>
              <w:top w:val="single" w:color="auto" w:sz="4" w:space="0"/>
              <w:left w:val="single" w:color="auto" w:sz="4" w:space="0"/>
              <w:bottom w:val="single" w:color="auto" w:sz="4" w:space="0"/>
              <w:right w:val="single" w:color="auto" w:sz="4" w:space="0"/>
            </w:tcBorders>
            <w:vAlign w:val="center"/>
          </w:tcPr>
          <w:p w14:paraId="5DCF4029">
            <w:pPr>
              <w:jc w:val="center"/>
              <w:rPr>
                <w:rFonts w:ascii="宋体" w:hAnsi="宋体"/>
                <w:color w:val="000000"/>
                <w:szCs w:val="21"/>
              </w:rPr>
            </w:pPr>
            <w:r>
              <w:rPr>
                <w:rFonts w:ascii="宋体" w:hAnsi="宋体"/>
                <w:color w:val="000000"/>
                <w:szCs w:val="21"/>
              </w:rPr>
              <w:t>电子邮箱</w:t>
            </w:r>
          </w:p>
        </w:tc>
        <w:tc>
          <w:tcPr>
            <w:tcW w:w="2397" w:type="dxa"/>
            <w:tcBorders>
              <w:top w:val="single" w:color="auto" w:sz="4" w:space="0"/>
              <w:left w:val="single" w:color="auto" w:sz="4" w:space="0"/>
              <w:bottom w:val="single" w:color="auto" w:sz="4" w:space="0"/>
              <w:right w:val="single" w:color="auto" w:sz="4" w:space="0"/>
            </w:tcBorders>
            <w:vAlign w:val="center"/>
          </w:tcPr>
          <w:p w14:paraId="73F2CAF0">
            <w:pPr>
              <w:jc w:val="center"/>
              <w:rPr>
                <w:rFonts w:hint="eastAsia" w:ascii="仿宋" w:hAnsi="仿宋" w:eastAsia="仿宋"/>
                <w:bCs/>
                <w:sz w:val="24"/>
                <w:szCs w:val="24"/>
              </w:rPr>
            </w:pPr>
            <w:r>
              <w:rPr>
                <w:rFonts w:hint="eastAsia" w:ascii="仿宋" w:hAnsi="仿宋" w:eastAsia="仿宋"/>
                <w:bCs/>
                <w:sz w:val="24"/>
                <w:szCs w:val="24"/>
              </w:rPr>
              <w:fldChar w:fldCharType="begin"/>
            </w:r>
            <w:r>
              <w:rPr>
                <w:rFonts w:hint="eastAsia" w:ascii="仿宋" w:hAnsi="仿宋" w:eastAsia="仿宋"/>
                <w:bCs/>
                <w:sz w:val="24"/>
                <w:szCs w:val="24"/>
              </w:rPr>
              <w:instrText xml:space="preserve"> HYPERLINK "mailto:jiarj@cnas.org.cn" </w:instrText>
            </w:r>
            <w:r>
              <w:rPr>
                <w:rFonts w:hint="eastAsia" w:ascii="仿宋" w:hAnsi="仿宋" w:eastAsia="仿宋"/>
                <w:bCs/>
                <w:sz w:val="24"/>
                <w:szCs w:val="24"/>
              </w:rPr>
              <w:fldChar w:fldCharType="separate"/>
            </w:r>
            <w:r>
              <w:rPr>
                <w:rStyle w:val="4"/>
                <w:rFonts w:hint="eastAsia" w:ascii="仿宋" w:hAnsi="仿宋" w:eastAsia="仿宋"/>
                <w:bCs/>
                <w:sz w:val="24"/>
                <w:szCs w:val="24"/>
              </w:rPr>
              <w:t>jiarj@cnas.org.cn</w:t>
            </w:r>
            <w:r>
              <w:rPr>
                <w:rFonts w:hint="eastAsia" w:ascii="仿宋" w:hAnsi="仿宋" w:eastAsia="仿宋"/>
                <w:bCs/>
                <w:sz w:val="24"/>
                <w:szCs w:val="24"/>
              </w:rPr>
              <w:fldChar w:fldCharType="end"/>
            </w:r>
          </w:p>
          <w:p w14:paraId="69F41036">
            <w:pPr>
              <w:jc w:val="center"/>
              <w:rPr>
                <w:rFonts w:hint="eastAsia" w:ascii="仿宋" w:hAnsi="仿宋" w:eastAsia="仿宋"/>
                <w:bCs/>
                <w:sz w:val="28"/>
                <w:szCs w:val="28"/>
                <w:lang w:val="en-US" w:eastAsia="zh-CN"/>
              </w:rPr>
            </w:pPr>
            <w:r>
              <w:rPr>
                <w:rFonts w:hint="eastAsia" w:ascii="仿宋" w:hAnsi="仿宋" w:eastAsia="仿宋"/>
                <w:bCs/>
                <w:sz w:val="24"/>
                <w:szCs w:val="24"/>
                <w:lang w:val="en-US" w:eastAsia="zh-CN"/>
              </w:rPr>
              <w:fldChar w:fldCharType="begin"/>
            </w:r>
            <w:r>
              <w:rPr>
                <w:rFonts w:hint="eastAsia" w:ascii="仿宋" w:hAnsi="仿宋" w:eastAsia="仿宋"/>
                <w:bCs/>
                <w:sz w:val="24"/>
                <w:szCs w:val="24"/>
                <w:lang w:val="en-US" w:eastAsia="zh-CN"/>
              </w:rPr>
              <w:instrText xml:space="preserve"> HYPERLINK "mailto:luy@cnas.org.cn" </w:instrText>
            </w:r>
            <w:r>
              <w:rPr>
                <w:rFonts w:hint="eastAsia" w:ascii="仿宋" w:hAnsi="仿宋" w:eastAsia="仿宋"/>
                <w:bCs/>
                <w:sz w:val="24"/>
                <w:szCs w:val="24"/>
                <w:lang w:val="en-US" w:eastAsia="zh-CN"/>
              </w:rPr>
              <w:fldChar w:fldCharType="separate"/>
            </w:r>
            <w:r>
              <w:rPr>
                <w:rStyle w:val="4"/>
                <w:rFonts w:hint="eastAsia" w:ascii="仿宋" w:hAnsi="仿宋" w:eastAsia="仿宋"/>
                <w:bCs/>
                <w:sz w:val="24"/>
                <w:szCs w:val="24"/>
                <w:lang w:val="en-US" w:eastAsia="zh-CN"/>
              </w:rPr>
              <w:t>luy@cnas.org.cn</w:t>
            </w:r>
            <w:r>
              <w:rPr>
                <w:rFonts w:hint="eastAsia" w:ascii="仿宋" w:hAnsi="仿宋" w:eastAsia="仿宋"/>
                <w:bCs/>
                <w:sz w:val="24"/>
                <w:szCs w:val="24"/>
                <w:lang w:val="en-US" w:eastAsia="zh-CN"/>
              </w:rPr>
              <w:fldChar w:fldCharType="end"/>
            </w:r>
          </w:p>
        </w:tc>
      </w:tr>
      <w:tr w14:paraId="38EA5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9625" w:type="dxa"/>
            <w:gridSpan w:val="7"/>
            <w:tcBorders>
              <w:top w:val="single" w:color="auto" w:sz="4" w:space="0"/>
              <w:left w:val="single" w:color="auto" w:sz="4" w:space="0"/>
              <w:bottom w:val="single" w:color="auto" w:sz="4" w:space="0"/>
              <w:right w:val="single" w:color="auto" w:sz="4" w:space="0"/>
            </w:tcBorders>
            <w:vAlign w:val="center"/>
          </w:tcPr>
          <w:p w14:paraId="2FD56AA8">
            <w:pPr>
              <w:adjustRightInd w:val="0"/>
              <w:spacing w:before="60" w:line="360" w:lineRule="auto"/>
              <w:ind w:firstLine="441" w:firstLineChars="210"/>
              <w:rPr>
                <w:rFonts w:ascii="宋体" w:hAnsi="宋体"/>
                <w:color w:val="000000"/>
                <w:szCs w:val="21"/>
              </w:rPr>
            </w:pPr>
            <w:r>
              <w:rPr>
                <w:rFonts w:ascii="宋体" w:hAnsi="宋体"/>
                <w:color w:val="000000"/>
                <w:szCs w:val="21"/>
              </w:rPr>
              <w:t>注2：3.4适用于标准草案送审稿，3.5适用于标准草案报批稿，3.6中</w:t>
            </w:r>
            <w:r>
              <w:rPr>
                <w:rFonts w:hint="eastAsia" w:ascii="宋体" w:hAnsi="宋体"/>
                <w:color w:val="000000"/>
                <w:szCs w:val="21"/>
              </w:rPr>
              <w:t>“</w:t>
            </w:r>
            <w:r>
              <w:rPr>
                <w:rFonts w:ascii="宋体" w:hAnsi="宋体"/>
                <w:color w:val="000000"/>
                <w:szCs w:val="21"/>
              </w:rPr>
              <w:t>预期的管理目标</w:t>
            </w:r>
            <w:r>
              <w:rPr>
                <w:rFonts w:hint="eastAsia" w:ascii="宋体" w:hAnsi="宋体"/>
                <w:color w:val="000000"/>
                <w:szCs w:val="21"/>
              </w:rPr>
              <w:t>”</w:t>
            </w:r>
            <w:r>
              <w:rPr>
                <w:rFonts w:ascii="宋体" w:hAnsi="宋体"/>
                <w:color w:val="000000"/>
                <w:szCs w:val="21"/>
              </w:rPr>
              <w:t>适用于规程类标准，3.6中</w:t>
            </w:r>
            <w:r>
              <w:rPr>
                <w:rFonts w:hint="eastAsia" w:ascii="宋体" w:hAnsi="宋体"/>
                <w:color w:val="000000"/>
                <w:szCs w:val="21"/>
              </w:rPr>
              <w:t>“</w:t>
            </w:r>
            <w:r>
              <w:rPr>
                <w:rFonts w:ascii="宋体" w:hAnsi="宋体"/>
                <w:color w:val="000000"/>
                <w:szCs w:val="21"/>
              </w:rPr>
              <w:t>技术指标</w:t>
            </w:r>
            <w:r>
              <w:rPr>
                <w:rFonts w:hint="eastAsia" w:ascii="宋体" w:hAnsi="宋体"/>
                <w:color w:val="000000"/>
                <w:szCs w:val="21"/>
              </w:rPr>
              <w:t>”</w:t>
            </w:r>
            <w:r>
              <w:rPr>
                <w:rFonts w:ascii="宋体" w:hAnsi="宋体"/>
                <w:color w:val="000000"/>
                <w:szCs w:val="21"/>
              </w:rPr>
              <w:t>适用于方法类标准，第5章适用于方法类标准编制说明的编写。</w:t>
            </w:r>
          </w:p>
          <w:p w14:paraId="6E4C2CC7">
            <w:pPr>
              <w:adjustRightInd w:val="0"/>
              <w:spacing w:before="60" w:line="360" w:lineRule="auto"/>
              <w:ind w:firstLine="441" w:firstLineChars="210"/>
              <w:rPr>
                <w:rFonts w:ascii="宋体" w:hAnsi="宋体"/>
                <w:color w:val="000000"/>
                <w:szCs w:val="21"/>
              </w:rPr>
            </w:pPr>
            <w:r>
              <w:rPr>
                <w:rFonts w:ascii="宋体" w:hAnsi="宋体"/>
                <w:color w:val="000000"/>
                <w:szCs w:val="21"/>
              </w:rPr>
              <w:t>注3：3.1和第6章为可选项，其余为必填项。</w:t>
            </w:r>
          </w:p>
        </w:tc>
      </w:tr>
      <w:tr w14:paraId="53FD0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9625" w:type="dxa"/>
            <w:gridSpan w:val="7"/>
            <w:tcBorders>
              <w:top w:val="single" w:color="auto" w:sz="4" w:space="0"/>
              <w:left w:val="nil"/>
              <w:bottom w:val="nil"/>
              <w:right w:val="nil"/>
            </w:tcBorders>
            <w:vAlign w:val="center"/>
          </w:tcPr>
          <w:p w14:paraId="032DDA12">
            <w:pPr>
              <w:wordWrap w:val="0"/>
              <w:ind w:right="480"/>
              <w:jc w:val="right"/>
              <w:rPr>
                <w:rFonts w:hint="default" w:ascii="宋体" w:hAnsi="宋体" w:eastAsia="宋体"/>
                <w:color w:val="000000"/>
                <w:szCs w:val="21"/>
                <w:lang w:val="en-US" w:eastAsia="zh-CN"/>
              </w:rPr>
            </w:pPr>
            <w:r>
              <w:rPr>
                <w:rFonts w:ascii="宋体" w:hAnsi="宋体"/>
                <w:color w:val="000000"/>
                <w:szCs w:val="21"/>
              </w:rPr>
              <w:t>编写日期：</w:t>
            </w:r>
            <w:r>
              <w:rPr>
                <w:rFonts w:hint="eastAsia" w:ascii="宋体" w:hAnsi="宋体"/>
                <w:color w:val="000000"/>
                <w:szCs w:val="21"/>
                <w:lang w:val="en-US" w:eastAsia="zh-CN"/>
              </w:rPr>
              <w:t>2025年10月21日</w:t>
            </w:r>
          </w:p>
        </w:tc>
      </w:tr>
    </w:tbl>
    <w:p w14:paraId="3D5A953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方正小标宋简体">
    <w:altName w:val="Arial Unicode MS"/>
    <w:panose1 w:val="00000000000000000000"/>
    <w:charset w:val="86"/>
    <w:family w:val="auto"/>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方正仿宋简体">
    <w:altName w:val="Arial Unicode MS"/>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A52"/>
    <w:rsid w:val="00091A52"/>
    <w:rsid w:val="00DA3F7D"/>
    <w:rsid w:val="17E37355"/>
    <w:rsid w:val="20C0647E"/>
    <w:rsid w:val="220D5804"/>
    <w:rsid w:val="28426631"/>
    <w:rsid w:val="2C820B5C"/>
    <w:rsid w:val="2E43463F"/>
    <w:rsid w:val="48916D8E"/>
    <w:rsid w:val="4D2576DC"/>
    <w:rsid w:val="618E7175"/>
    <w:rsid w:val="643523A4"/>
    <w:rsid w:val="64C422CE"/>
    <w:rsid w:val="789172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styleId="4">
    <w:name w:val="Hyperlink"/>
    <w:basedOn w:val="3"/>
    <w:semiHidden/>
    <w:unhideWhenUsed/>
    <w:uiPriority w:val="99"/>
    <w:rPr>
      <w:color w:val="0000FF"/>
      <w:u w:val="single"/>
    </w:rPr>
  </w:style>
  <w:style w:type="paragraph" w:customStyle="1" w:styleId="5">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Calibri" w:eastAsia="黑体" w:cs="Times New Roman"/>
      <w:sz w:val="52"/>
      <w:lang w:val="en-US" w:eastAsia="zh-CN" w:bidi="ar-SA"/>
    </w:rPr>
  </w:style>
  <w:style w:type="paragraph" w:customStyle="1" w:styleId="6">
    <w:name w:val="封面标准英文名称"/>
    <w:basedOn w:val="5"/>
    <w:qFormat/>
    <w:uiPriority w:val="0"/>
    <w:pPr>
      <w:spacing w:before="370" w:line="400" w:lineRule="exact"/>
    </w:pPr>
    <w:rPr>
      <w:rFonts w:ascii="Times New Roman"/>
      <w:sz w:val="28"/>
      <w:szCs w:val="28"/>
    </w:rPr>
  </w:style>
  <w:style w:type="paragraph" w:customStyle="1" w:styleId="7">
    <w:name w:val="段"/>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1"/>
      <w:lang w:val="en-US" w:eastAsia="zh-CN" w:bidi="ar-SA"/>
    </w:rPr>
  </w:style>
  <w:style w:type="paragraph" w:customStyle="1" w:styleId="8">
    <w:name w:val="列项——（一级）"/>
    <w:qFormat/>
    <w:uiPriority w:val="0"/>
    <w:pPr>
      <w:widowControl w:val="0"/>
      <w:ind w:left="833" w:hanging="408"/>
      <w:jc w:val="both"/>
    </w:pPr>
    <w:rPr>
      <w:rFonts w:ascii="宋体" w:hAnsi="Calibri" w:eastAsia="宋体" w:cs="Times New Roman"/>
      <w:sz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134</Words>
  <Characters>770</Characters>
  <Lines>6</Lines>
  <Paragraphs>1</Paragraphs>
  <TotalTime>2</TotalTime>
  <ScaleCrop>false</ScaleCrop>
  <LinksUpToDate>false</LinksUpToDate>
  <CharactersWithSpaces>903</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2018-11-02T07:37:00Z</dcterms:created>
  <dc:creator>jiaruijing</dc:creator>
  <cp:lastModifiedBy>luy</cp:lastModifiedBy>
  <dcterms:modified xsi:type="dcterms:W3CDTF">2025-11-04T02:13:43Z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CF6A10A9D15B4534964B7AAE2904998F_13</vt:lpwstr>
  </property>
</Properties>
</file>