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A4461">
      <w:pPr>
        <w:rPr>
          <w:rFonts w:eastAsia="仿宋_GB2312"/>
          <w:b/>
          <w:color w:val="000000"/>
          <w:sz w:val="30"/>
          <w:szCs w:val="30"/>
          <w:highlight w:val="none"/>
        </w:rPr>
      </w:pPr>
      <w:r>
        <w:rPr>
          <w:rFonts w:eastAsia="方正仿宋简体"/>
          <w:snapToGrid w:val="0"/>
          <w:color w:val="000000"/>
          <w:kern w:val="0"/>
          <w:sz w:val="32"/>
          <w:szCs w:val="32"/>
          <w:highlight w:val="none"/>
        </w:rPr>
        <w:t>附件</w:t>
      </w:r>
      <w:r>
        <w:rPr>
          <w:rFonts w:hint="eastAsia" w:eastAsia="方正仿宋简体"/>
          <w:snapToGrid w:val="0"/>
          <w:color w:val="000000"/>
          <w:kern w:val="0"/>
          <w:sz w:val="32"/>
          <w:szCs w:val="32"/>
          <w:highlight w:val="none"/>
        </w:rPr>
        <w:t>7</w:t>
      </w:r>
      <w:r>
        <w:rPr>
          <w:rFonts w:eastAsia="方正仿宋简体"/>
          <w:snapToGrid w:val="0"/>
          <w:color w:val="000000"/>
          <w:kern w:val="0"/>
          <w:sz w:val="32"/>
          <w:szCs w:val="32"/>
          <w:highlight w:val="none"/>
        </w:rPr>
        <w:t>：</w:t>
      </w:r>
    </w:p>
    <w:p w14:paraId="5A2584F8">
      <w:pPr>
        <w:autoSpaceDE w:val="0"/>
        <w:autoSpaceDN w:val="0"/>
        <w:adjustRightInd w:val="0"/>
        <w:jc w:val="center"/>
        <w:rPr>
          <w:rFonts w:ascii="方正小标宋简体" w:eastAsia="方正小标宋简体"/>
          <w:sz w:val="44"/>
          <w:szCs w:val="44"/>
          <w:highlight w:val="none"/>
        </w:rPr>
      </w:pPr>
      <w:r>
        <w:rPr>
          <w:rFonts w:hint="eastAsia" w:ascii="方正小标宋简体" w:eastAsia="方正小标宋简体"/>
          <w:sz w:val="44"/>
          <w:szCs w:val="44"/>
          <w:highlight w:val="none"/>
        </w:rPr>
        <w:t>认证认可</w:t>
      </w:r>
      <w:r>
        <w:rPr>
          <w:rFonts w:ascii="方正小标宋简体" w:eastAsia="方正小标宋简体"/>
          <w:sz w:val="44"/>
          <w:szCs w:val="44"/>
          <w:highlight w:val="none"/>
        </w:rPr>
        <w:t>行业标准草案编制说明</w:t>
      </w:r>
    </w:p>
    <w:p w14:paraId="411DE4A2">
      <w:pPr>
        <w:autoSpaceDE w:val="0"/>
        <w:autoSpaceDN w:val="0"/>
        <w:adjustRightInd w:val="0"/>
        <w:jc w:val="center"/>
        <w:rPr>
          <w:rFonts w:ascii="方正仿宋简体" w:eastAsia="方正仿宋简体"/>
          <w:color w:val="000000"/>
          <w:sz w:val="24"/>
          <w:szCs w:val="24"/>
          <w:highlight w:val="none"/>
        </w:rPr>
      </w:pPr>
      <w:r>
        <w:rPr>
          <w:rFonts w:hint="eastAsia" w:ascii="方正仿宋简体" w:eastAsia="方正仿宋简体"/>
          <w:color w:val="000000"/>
          <w:sz w:val="24"/>
          <w:szCs w:val="24"/>
          <w:highlight w:val="none"/>
        </w:rPr>
        <w:t>（参考格式）</w:t>
      </w:r>
    </w:p>
    <w:tbl>
      <w:tblPr>
        <w:tblStyle w:val="6"/>
        <w:tblpPr w:leftFromText="180" w:rightFromText="180" w:vertAnchor="text" w:horzAnchor="margin" w:tblpXSpec="center" w:tblpY="169"/>
        <w:tblW w:w="10801"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29"/>
        <w:gridCol w:w="1563"/>
        <w:gridCol w:w="1155"/>
        <w:gridCol w:w="3803"/>
        <w:gridCol w:w="964"/>
        <w:gridCol w:w="1587"/>
      </w:tblGrid>
      <w:tr w14:paraId="11580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68" w:hRule="atLeast"/>
        </w:trPr>
        <w:tc>
          <w:tcPr>
            <w:tcW w:w="10801" w:type="dxa"/>
            <w:gridSpan w:val="6"/>
            <w:tcBorders>
              <w:top w:val="nil"/>
              <w:left w:val="nil"/>
              <w:bottom w:val="nil"/>
              <w:right w:val="nil"/>
            </w:tcBorders>
            <w:vAlign w:val="center"/>
          </w:tcPr>
          <w:p w14:paraId="17BE35A9">
            <w:pPr>
              <w:rPr>
                <w:rFonts w:ascii="宋体" w:hAnsi="宋体"/>
                <w:b/>
                <w:color w:val="000000"/>
                <w:szCs w:val="21"/>
                <w:highlight w:val="none"/>
              </w:rPr>
            </w:pPr>
            <w:r>
              <w:rPr>
                <w:rFonts w:hint="eastAsia" w:ascii="宋体" w:hAnsi="宋体"/>
                <w:b/>
                <w:color w:val="000000"/>
                <w:szCs w:val="21"/>
                <w:highlight w:val="none"/>
              </w:rPr>
              <w:t>1、基本信息</w:t>
            </w:r>
          </w:p>
        </w:tc>
      </w:tr>
      <w:tr w14:paraId="67630D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8" w:hRule="atLeast"/>
        </w:trPr>
        <w:tc>
          <w:tcPr>
            <w:tcW w:w="1729" w:type="dxa"/>
            <w:vMerge w:val="restart"/>
            <w:tcBorders>
              <w:top w:val="single" w:color="auto" w:sz="4" w:space="0"/>
              <w:left w:val="single" w:color="auto" w:sz="4" w:space="0"/>
              <w:bottom w:val="single" w:color="auto" w:sz="4" w:space="0"/>
              <w:right w:val="single" w:color="auto" w:sz="4" w:space="0"/>
            </w:tcBorders>
            <w:vAlign w:val="center"/>
          </w:tcPr>
          <w:p w14:paraId="3BE65F02">
            <w:pPr>
              <w:ind w:left="141" w:leftChars="67" w:right="176" w:rightChars="84"/>
              <w:rPr>
                <w:rFonts w:ascii="宋体" w:hAnsi="宋体"/>
                <w:color w:val="000000"/>
                <w:szCs w:val="21"/>
                <w:highlight w:val="none"/>
              </w:rPr>
            </w:pPr>
            <w:r>
              <w:rPr>
                <w:rFonts w:ascii="宋体" w:hAnsi="宋体"/>
                <w:color w:val="000000"/>
                <w:szCs w:val="21"/>
                <w:highlight w:val="none"/>
              </w:rPr>
              <w:t>1.1 标准草案名称</w:t>
            </w:r>
          </w:p>
        </w:tc>
        <w:tc>
          <w:tcPr>
            <w:tcW w:w="1563" w:type="dxa"/>
            <w:tcBorders>
              <w:top w:val="single" w:color="auto" w:sz="4" w:space="0"/>
              <w:left w:val="single" w:color="auto" w:sz="4" w:space="0"/>
              <w:bottom w:val="single" w:color="auto" w:sz="4" w:space="0"/>
              <w:right w:val="single" w:color="auto" w:sz="4" w:space="0"/>
            </w:tcBorders>
            <w:vAlign w:val="center"/>
          </w:tcPr>
          <w:p w14:paraId="6B1400D4">
            <w:pPr>
              <w:jc w:val="center"/>
              <w:rPr>
                <w:rFonts w:ascii="宋体" w:hAnsi="宋体"/>
                <w:color w:val="000000"/>
                <w:szCs w:val="21"/>
                <w:highlight w:val="none"/>
              </w:rPr>
            </w:pPr>
            <w:r>
              <w:rPr>
                <w:rFonts w:ascii="宋体" w:hAnsi="宋体"/>
                <w:color w:val="000000"/>
                <w:szCs w:val="21"/>
                <w:highlight w:val="none"/>
              </w:rPr>
              <w:t>中文</w:t>
            </w:r>
          </w:p>
        </w:tc>
        <w:tc>
          <w:tcPr>
            <w:tcW w:w="7509" w:type="dxa"/>
            <w:gridSpan w:val="4"/>
            <w:tcBorders>
              <w:top w:val="single" w:color="auto" w:sz="4" w:space="0"/>
              <w:left w:val="single" w:color="auto" w:sz="4" w:space="0"/>
              <w:bottom w:val="single" w:color="auto" w:sz="4" w:space="0"/>
              <w:right w:val="single" w:color="auto" w:sz="4" w:space="0"/>
            </w:tcBorders>
            <w:vAlign w:val="center"/>
          </w:tcPr>
          <w:p w14:paraId="1B53D73C">
            <w:pPr>
              <w:rPr>
                <w:rFonts w:asciiTheme="majorEastAsia" w:hAnsiTheme="majorEastAsia" w:eastAsiaTheme="majorEastAsia"/>
                <w:color w:val="000000"/>
                <w:szCs w:val="21"/>
                <w:highlight w:val="none"/>
              </w:rPr>
            </w:pPr>
            <w:r>
              <w:rPr>
                <w:rFonts w:hint="eastAsia" w:asciiTheme="majorEastAsia" w:hAnsiTheme="majorEastAsia" w:eastAsiaTheme="majorEastAsia"/>
                <w:szCs w:val="21"/>
                <w:highlight w:val="none"/>
              </w:rPr>
              <w:t>可持续钢管理体系 要求</w:t>
            </w:r>
          </w:p>
        </w:tc>
      </w:tr>
      <w:tr w14:paraId="34AD4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48" w:hRule="atLeast"/>
        </w:trPr>
        <w:tc>
          <w:tcPr>
            <w:tcW w:w="1729" w:type="dxa"/>
            <w:vMerge w:val="continue"/>
            <w:tcBorders>
              <w:top w:val="single" w:color="auto" w:sz="4" w:space="0"/>
              <w:left w:val="single" w:color="auto" w:sz="4" w:space="0"/>
              <w:bottom w:val="single" w:color="auto" w:sz="4" w:space="0"/>
              <w:right w:val="single" w:color="auto" w:sz="4" w:space="0"/>
            </w:tcBorders>
            <w:vAlign w:val="center"/>
          </w:tcPr>
          <w:p w14:paraId="48255FDD">
            <w:pPr>
              <w:ind w:left="141" w:leftChars="67" w:right="176" w:rightChars="84"/>
              <w:jc w:val="center"/>
              <w:rPr>
                <w:rFonts w:ascii="宋体" w:hAnsi="宋体"/>
                <w:color w:val="000000"/>
                <w:szCs w:val="21"/>
                <w:highlight w:val="none"/>
              </w:rPr>
            </w:pPr>
          </w:p>
        </w:tc>
        <w:tc>
          <w:tcPr>
            <w:tcW w:w="1563" w:type="dxa"/>
            <w:tcBorders>
              <w:top w:val="single" w:color="auto" w:sz="4" w:space="0"/>
              <w:left w:val="single" w:color="auto" w:sz="4" w:space="0"/>
              <w:bottom w:val="single" w:color="auto" w:sz="6" w:space="0"/>
              <w:right w:val="single" w:color="auto" w:sz="4" w:space="0"/>
            </w:tcBorders>
            <w:vAlign w:val="center"/>
          </w:tcPr>
          <w:p w14:paraId="1A384B36">
            <w:pPr>
              <w:jc w:val="center"/>
              <w:rPr>
                <w:rFonts w:ascii="宋体" w:hAnsi="宋体"/>
                <w:color w:val="000000"/>
                <w:szCs w:val="21"/>
                <w:highlight w:val="none"/>
              </w:rPr>
            </w:pPr>
            <w:r>
              <w:rPr>
                <w:rFonts w:ascii="宋体" w:hAnsi="宋体"/>
                <w:color w:val="000000"/>
                <w:szCs w:val="21"/>
                <w:highlight w:val="none"/>
              </w:rPr>
              <w:t>英文</w:t>
            </w:r>
          </w:p>
        </w:tc>
        <w:tc>
          <w:tcPr>
            <w:tcW w:w="7509" w:type="dxa"/>
            <w:gridSpan w:val="4"/>
            <w:tcBorders>
              <w:top w:val="single" w:color="auto" w:sz="4" w:space="0"/>
              <w:left w:val="single" w:color="auto" w:sz="4" w:space="0"/>
              <w:bottom w:val="single" w:color="auto" w:sz="4" w:space="0"/>
            </w:tcBorders>
            <w:vAlign w:val="center"/>
          </w:tcPr>
          <w:p w14:paraId="3551B35B">
            <w:pPr>
              <w:rPr>
                <w:rFonts w:ascii="宋体" w:hAnsi="宋体"/>
                <w:color w:val="000000"/>
                <w:szCs w:val="21"/>
                <w:highlight w:val="none"/>
              </w:rPr>
            </w:pPr>
            <w:r>
              <w:rPr>
                <w:rFonts w:hint="eastAsia" w:ascii="华文中宋" w:hAnsi="华文中宋" w:eastAsia="华文中宋"/>
                <w:szCs w:val="21"/>
                <w:highlight w:val="none"/>
              </w:rPr>
              <w:t>Sustainable steel management systems—Requirements</w:t>
            </w:r>
          </w:p>
        </w:tc>
      </w:tr>
      <w:tr w14:paraId="3BE3A9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3" w:hRule="atLeast"/>
        </w:trPr>
        <w:tc>
          <w:tcPr>
            <w:tcW w:w="1729" w:type="dxa"/>
            <w:vMerge w:val="restart"/>
            <w:tcBorders>
              <w:right w:val="single" w:color="auto" w:sz="4" w:space="0"/>
            </w:tcBorders>
            <w:vAlign w:val="center"/>
          </w:tcPr>
          <w:p w14:paraId="45E54509">
            <w:pPr>
              <w:ind w:left="141" w:leftChars="67" w:right="176" w:rightChars="84"/>
              <w:rPr>
                <w:rFonts w:ascii="宋体" w:hAnsi="宋体"/>
                <w:color w:val="000000"/>
                <w:szCs w:val="21"/>
                <w:highlight w:val="none"/>
              </w:rPr>
            </w:pPr>
            <w:r>
              <w:rPr>
                <w:rFonts w:ascii="宋体" w:hAnsi="宋体"/>
                <w:color w:val="000000"/>
                <w:szCs w:val="21"/>
                <w:highlight w:val="none"/>
              </w:rPr>
              <w:t>1.2 与国际标准和国外先进标准一致</w:t>
            </w:r>
            <w:r>
              <w:rPr>
                <w:rFonts w:hint="eastAsia" w:ascii="宋体" w:hAnsi="宋体"/>
                <w:color w:val="000000"/>
                <w:szCs w:val="21"/>
                <w:highlight w:val="none"/>
              </w:rPr>
              <w:t>性</w:t>
            </w:r>
            <w:r>
              <w:rPr>
                <w:rFonts w:ascii="宋体" w:hAnsi="宋体"/>
                <w:color w:val="000000"/>
                <w:szCs w:val="21"/>
                <w:highlight w:val="none"/>
              </w:rPr>
              <w:t>程度情况</w:t>
            </w:r>
          </w:p>
        </w:tc>
        <w:tc>
          <w:tcPr>
            <w:tcW w:w="1563" w:type="dxa"/>
            <w:vMerge w:val="restart"/>
            <w:tcBorders>
              <w:left w:val="single" w:color="auto" w:sz="4" w:space="0"/>
              <w:right w:val="single" w:color="auto" w:sz="4" w:space="0"/>
            </w:tcBorders>
            <w:vAlign w:val="center"/>
          </w:tcPr>
          <w:p w14:paraId="2601843F">
            <w:pPr>
              <w:rPr>
                <w:rFonts w:ascii="宋体" w:hAnsi="宋体"/>
                <w:color w:val="000000"/>
                <w:szCs w:val="21"/>
                <w:highlight w:val="none"/>
              </w:rPr>
            </w:pPr>
            <w:r>
              <w:rPr>
                <w:rFonts w:ascii="宋体" w:hAnsi="宋体"/>
                <w:color w:val="000000"/>
                <w:szCs w:val="21"/>
                <w:highlight w:val="none"/>
              </w:rPr>
              <w:t>□等同</w:t>
            </w:r>
            <w:r>
              <w:rPr>
                <w:rFonts w:hint="eastAsia" w:ascii="宋体" w:hAnsi="宋体"/>
                <w:color w:val="000000"/>
                <w:szCs w:val="21"/>
                <w:highlight w:val="none"/>
              </w:rPr>
              <w:t>采用</w:t>
            </w:r>
          </w:p>
          <w:p w14:paraId="6321B398">
            <w:pPr>
              <w:rPr>
                <w:rFonts w:ascii="宋体" w:hAnsi="宋体"/>
                <w:color w:val="000000"/>
                <w:szCs w:val="21"/>
                <w:highlight w:val="none"/>
              </w:rPr>
            </w:pPr>
            <w:r>
              <w:rPr>
                <w:rFonts w:ascii="宋体" w:hAnsi="宋体"/>
                <w:color w:val="000000"/>
                <w:szCs w:val="21"/>
                <w:highlight w:val="none"/>
              </w:rPr>
              <w:t>□修改</w:t>
            </w:r>
            <w:r>
              <w:rPr>
                <w:rFonts w:hint="eastAsia" w:ascii="宋体" w:hAnsi="宋体"/>
                <w:color w:val="000000"/>
                <w:szCs w:val="21"/>
                <w:highlight w:val="none"/>
              </w:rPr>
              <w:t>采用</w:t>
            </w:r>
          </w:p>
          <w:p w14:paraId="1F29816C">
            <w:pPr>
              <w:rPr>
                <w:rFonts w:ascii="宋体" w:hAnsi="宋体"/>
                <w:color w:val="000000"/>
                <w:szCs w:val="21"/>
                <w:highlight w:val="none"/>
              </w:rPr>
            </w:pPr>
            <w:r>
              <w:rPr>
                <w:rFonts w:ascii="宋体" w:hAnsi="宋体"/>
                <w:color w:val="000000"/>
                <w:szCs w:val="21"/>
                <w:highlight w:val="none"/>
              </w:rPr>
              <w:t>□非等效</w:t>
            </w:r>
            <w:r>
              <w:rPr>
                <w:rFonts w:hint="eastAsia" w:ascii="宋体" w:hAnsi="宋体"/>
                <w:color w:val="000000"/>
                <w:szCs w:val="21"/>
                <w:highlight w:val="none"/>
              </w:rPr>
              <w:t>采用</w:t>
            </w:r>
          </w:p>
          <w:p w14:paraId="5879E25D">
            <w:pPr>
              <w:rPr>
                <w:rFonts w:ascii="宋体" w:hAnsi="宋体"/>
                <w:color w:val="000000"/>
                <w:szCs w:val="21"/>
                <w:highlight w:val="none"/>
              </w:rPr>
            </w:pPr>
            <w:r>
              <w:rPr>
                <w:rFonts w:hint="eastAsia" w:ascii="宋体" w:hAnsi="宋体"/>
                <w:color w:val="000000"/>
                <w:szCs w:val="21"/>
                <w:highlight w:val="none"/>
              </w:rPr>
              <w:t>■未采用</w:t>
            </w:r>
          </w:p>
        </w:tc>
        <w:tc>
          <w:tcPr>
            <w:tcW w:w="1155" w:type="dxa"/>
            <w:tcBorders>
              <w:left w:val="single" w:color="auto" w:sz="4" w:space="0"/>
              <w:bottom w:val="single" w:color="auto" w:sz="4" w:space="0"/>
              <w:right w:val="single" w:color="auto" w:sz="4" w:space="0"/>
            </w:tcBorders>
            <w:vAlign w:val="center"/>
          </w:tcPr>
          <w:p w14:paraId="37039174">
            <w:pPr>
              <w:jc w:val="center"/>
              <w:rPr>
                <w:rFonts w:ascii="宋体" w:hAnsi="宋体"/>
                <w:color w:val="000000"/>
                <w:szCs w:val="21"/>
                <w:highlight w:val="none"/>
              </w:rPr>
            </w:pPr>
            <w:r>
              <w:rPr>
                <w:rFonts w:ascii="宋体" w:hAnsi="宋体"/>
                <w:color w:val="000000"/>
                <w:szCs w:val="21"/>
                <w:highlight w:val="none"/>
              </w:rPr>
              <w:t>标准</w:t>
            </w:r>
            <w:r>
              <w:rPr>
                <w:rFonts w:hint="eastAsia" w:ascii="宋体" w:hAnsi="宋体"/>
                <w:color w:val="000000"/>
                <w:szCs w:val="21"/>
                <w:highlight w:val="none"/>
              </w:rPr>
              <w:t>编</w:t>
            </w:r>
            <w:r>
              <w:rPr>
                <w:rFonts w:ascii="宋体" w:hAnsi="宋体"/>
                <w:color w:val="000000"/>
                <w:szCs w:val="21"/>
                <w:highlight w:val="none"/>
              </w:rPr>
              <w:t>号</w:t>
            </w:r>
          </w:p>
        </w:tc>
        <w:tc>
          <w:tcPr>
            <w:tcW w:w="6354" w:type="dxa"/>
            <w:gridSpan w:val="3"/>
            <w:tcBorders>
              <w:left w:val="single" w:color="auto" w:sz="4" w:space="0"/>
              <w:bottom w:val="single" w:color="auto" w:sz="4" w:space="0"/>
            </w:tcBorders>
            <w:vAlign w:val="center"/>
          </w:tcPr>
          <w:p w14:paraId="493714FA">
            <w:pPr>
              <w:rPr>
                <w:rFonts w:ascii="宋体" w:hAnsi="宋体"/>
                <w:color w:val="000000"/>
                <w:szCs w:val="21"/>
                <w:highlight w:val="none"/>
              </w:rPr>
            </w:pPr>
          </w:p>
        </w:tc>
      </w:tr>
      <w:tr w14:paraId="085816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59" w:hRule="atLeast"/>
        </w:trPr>
        <w:tc>
          <w:tcPr>
            <w:tcW w:w="1729" w:type="dxa"/>
            <w:vMerge w:val="continue"/>
            <w:tcBorders>
              <w:right w:val="single" w:color="auto" w:sz="4" w:space="0"/>
            </w:tcBorders>
            <w:vAlign w:val="center"/>
          </w:tcPr>
          <w:p w14:paraId="6E4B48EB">
            <w:pPr>
              <w:ind w:left="141" w:leftChars="67" w:right="176" w:rightChars="84"/>
              <w:jc w:val="center"/>
              <w:rPr>
                <w:rFonts w:ascii="宋体" w:hAnsi="宋体"/>
                <w:color w:val="000000"/>
                <w:szCs w:val="21"/>
                <w:highlight w:val="none"/>
              </w:rPr>
            </w:pPr>
          </w:p>
        </w:tc>
        <w:tc>
          <w:tcPr>
            <w:tcW w:w="1563" w:type="dxa"/>
            <w:vMerge w:val="continue"/>
            <w:tcBorders>
              <w:left w:val="single" w:color="auto" w:sz="4" w:space="0"/>
              <w:right w:val="single" w:color="auto" w:sz="4" w:space="0"/>
            </w:tcBorders>
            <w:vAlign w:val="center"/>
          </w:tcPr>
          <w:p w14:paraId="673A9B8F">
            <w:pPr>
              <w:jc w:val="center"/>
              <w:rPr>
                <w:rFonts w:ascii="宋体" w:hAnsi="宋体"/>
                <w:color w:val="000000"/>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127AD17D">
            <w:pPr>
              <w:jc w:val="center"/>
              <w:rPr>
                <w:rFonts w:ascii="宋体" w:hAnsi="宋体"/>
                <w:color w:val="000000"/>
                <w:szCs w:val="21"/>
                <w:highlight w:val="none"/>
              </w:rPr>
            </w:pPr>
            <w:r>
              <w:rPr>
                <w:rFonts w:ascii="宋体" w:hAnsi="宋体"/>
                <w:color w:val="000000"/>
                <w:szCs w:val="21"/>
                <w:highlight w:val="none"/>
              </w:rPr>
              <w:t>英文名称</w:t>
            </w:r>
          </w:p>
        </w:tc>
        <w:tc>
          <w:tcPr>
            <w:tcW w:w="6354" w:type="dxa"/>
            <w:gridSpan w:val="3"/>
            <w:tcBorders>
              <w:top w:val="single" w:color="auto" w:sz="4" w:space="0"/>
              <w:left w:val="single" w:color="auto" w:sz="4" w:space="0"/>
              <w:bottom w:val="single" w:color="auto" w:sz="4" w:space="0"/>
            </w:tcBorders>
            <w:vAlign w:val="center"/>
          </w:tcPr>
          <w:p w14:paraId="462DFBE2">
            <w:pPr>
              <w:rPr>
                <w:rFonts w:ascii="宋体" w:hAnsi="宋体"/>
                <w:color w:val="000000"/>
                <w:szCs w:val="21"/>
                <w:highlight w:val="none"/>
              </w:rPr>
            </w:pPr>
          </w:p>
        </w:tc>
      </w:tr>
      <w:tr w14:paraId="4DAE4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4" w:hRule="atLeast"/>
        </w:trPr>
        <w:tc>
          <w:tcPr>
            <w:tcW w:w="1729" w:type="dxa"/>
            <w:vMerge w:val="continue"/>
            <w:tcBorders>
              <w:right w:val="single" w:color="auto" w:sz="4" w:space="0"/>
            </w:tcBorders>
            <w:vAlign w:val="center"/>
          </w:tcPr>
          <w:p w14:paraId="56498354">
            <w:pPr>
              <w:ind w:left="141" w:leftChars="67" w:right="176" w:rightChars="84"/>
              <w:jc w:val="center"/>
              <w:rPr>
                <w:rFonts w:ascii="宋体" w:hAnsi="宋体"/>
                <w:color w:val="000000"/>
                <w:szCs w:val="21"/>
                <w:highlight w:val="none"/>
              </w:rPr>
            </w:pPr>
          </w:p>
        </w:tc>
        <w:tc>
          <w:tcPr>
            <w:tcW w:w="1563" w:type="dxa"/>
            <w:vMerge w:val="continue"/>
            <w:tcBorders>
              <w:left w:val="single" w:color="auto" w:sz="4" w:space="0"/>
              <w:bottom w:val="single" w:color="auto" w:sz="4" w:space="0"/>
              <w:right w:val="single" w:color="auto" w:sz="4" w:space="0"/>
            </w:tcBorders>
            <w:vAlign w:val="center"/>
          </w:tcPr>
          <w:p w14:paraId="5F050EC9">
            <w:pPr>
              <w:jc w:val="center"/>
              <w:rPr>
                <w:rFonts w:ascii="宋体" w:hAnsi="宋体"/>
                <w:color w:val="000000"/>
                <w:szCs w:val="21"/>
                <w:highlight w:val="none"/>
              </w:rPr>
            </w:pPr>
          </w:p>
        </w:tc>
        <w:tc>
          <w:tcPr>
            <w:tcW w:w="1155" w:type="dxa"/>
            <w:tcBorders>
              <w:top w:val="single" w:color="auto" w:sz="4" w:space="0"/>
              <w:left w:val="single" w:color="auto" w:sz="4" w:space="0"/>
              <w:bottom w:val="single" w:color="auto" w:sz="4" w:space="0"/>
              <w:right w:val="single" w:color="auto" w:sz="4" w:space="0"/>
            </w:tcBorders>
            <w:vAlign w:val="center"/>
          </w:tcPr>
          <w:p w14:paraId="1C174320">
            <w:pPr>
              <w:jc w:val="center"/>
              <w:rPr>
                <w:rFonts w:ascii="宋体" w:hAnsi="宋体"/>
                <w:color w:val="000000"/>
                <w:szCs w:val="21"/>
                <w:highlight w:val="none"/>
              </w:rPr>
            </w:pPr>
            <w:r>
              <w:rPr>
                <w:rFonts w:ascii="宋体" w:hAnsi="宋体"/>
                <w:color w:val="000000"/>
                <w:szCs w:val="21"/>
                <w:highlight w:val="none"/>
              </w:rPr>
              <w:t>中文名称</w:t>
            </w:r>
          </w:p>
        </w:tc>
        <w:tc>
          <w:tcPr>
            <w:tcW w:w="6354" w:type="dxa"/>
            <w:gridSpan w:val="3"/>
            <w:tcBorders>
              <w:top w:val="single" w:color="auto" w:sz="4" w:space="0"/>
              <w:left w:val="single" w:color="auto" w:sz="4" w:space="0"/>
              <w:bottom w:val="single" w:color="auto" w:sz="4" w:space="0"/>
            </w:tcBorders>
            <w:vAlign w:val="center"/>
          </w:tcPr>
          <w:p w14:paraId="11EE1650">
            <w:pPr>
              <w:rPr>
                <w:rFonts w:ascii="宋体" w:hAnsi="宋体"/>
                <w:color w:val="000000"/>
                <w:szCs w:val="21"/>
                <w:highlight w:val="none"/>
              </w:rPr>
            </w:pPr>
          </w:p>
        </w:tc>
      </w:tr>
      <w:tr w14:paraId="2F401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atLeast"/>
        </w:trPr>
        <w:tc>
          <w:tcPr>
            <w:tcW w:w="1729" w:type="dxa"/>
            <w:tcBorders>
              <w:right w:val="single" w:color="auto" w:sz="4" w:space="0"/>
            </w:tcBorders>
            <w:vAlign w:val="center"/>
          </w:tcPr>
          <w:p w14:paraId="7F47D802">
            <w:pPr>
              <w:ind w:left="141" w:leftChars="67" w:right="176" w:rightChars="84"/>
              <w:rPr>
                <w:rFonts w:ascii="宋体" w:hAnsi="宋体"/>
                <w:color w:val="000000"/>
                <w:szCs w:val="21"/>
                <w:highlight w:val="none"/>
              </w:rPr>
            </w:pPr>
            <w:r>
              <w:rPr>
                <w:rFonts w:ascii="宋体" w:hAnsi="宋体"/>
                <w:color w:val="000000"/>
                <w:szCs w:val="21"/>
                <w:highlight w:val="none"/>
              </w:rPr>
              <w:t>1.3 任务来源</w:t>
            </w:r>
          </w:p>
        </w:tc>
        <w:tc>
          <w:tcPr>
            <w:tcW w:w="1563" w:type="dxa"/>
            <w:tcBorders>
              <w:left w:val="single" w:color="auto" w:sz="4" w:space="0"/>
              <w:bottom w:val="single" w:color="auto" w:sz="4" w:space="0"/>
              <w:right w:val="single" w:color="auto" w:sz="4" w:space="0"/>
            </w:tcBorders>
            <w:vAlign w:val="center"/>
          </w:tcPr>
          <w:p w14:paraId="18EF0510">
            <w:pPr>
              <w:jc w:val="center"/>
              <w:rPr>
                <w:rFonts w:ascii="宋体" w:hAnsi="宋体"/>
                <w:color w:val="000000"/>
                <w:szCs w:val="21"/>
                <w:highlight w:val="none"/>
              </w:rPr>
            </w:pPr>
            <w:r>
              <w:rPr>
                <w:rFonts w:ascii="宋体" w:hAnsi="宋体"/>
                <w:color w:val="000000"/>
                <w:szCs w:val="21"/>
                <w:highlight w:val="none"/>
              </w:rPr>
              <w:t>批准立项的文件名称和文件号</w:t>
            </w:r>
          </w:p>
        </w:tc>
        <w:tc>
          <w:tcPr>
            <w:tcW w:w="4958" w:type="dxa"/>
            <w:gridSpan w:val="2"/>
            <w:tcBorders>
              <w:left w:val="single" w:color="auto" w:sz="4" w:space="0"/>
              <w:bottom w:val="single" w:color="auto" w:sz="4" w:space="0"/>
              <w:right w:val="single" w:color="auto" w:sz="4" w:space="0"/>
            </w:tcBorders>
            <w:vAlign w:val="center"/>
          </w:tcPr>
          <w:p w14:paraId="2CD60161">
            <w:pPr>
              <w:rPr>
                <w:rFonts w:asciiTheme="minorEastAsia" w:hAnsiTheme="minorEastAsia" w:eastAsiaTheme="minorEastAsia"/>
                <w:color w:val="000000"/>
                <w:szCs w:val="21"/>
                <w:highlight w:val="none"/>
              </w:rPr>
            </w:pPr>
            <w:r>
              <w:rPr>
                <w:rFonts w:hint="eastAsia" w:asciiTheme="minorEastAsia" w:hAnsiTheme="minorEastAsia" w:eastAsiaTheme="minorEastAsia"/>
                <w:szCs w:val="21"/>
                <w:highlight w:val="none"/>
              </w:rPr>
              <w:t>国家认监委关于下达《温室气体管理体系认证机构认可要求》等</w:t>
            </w:r>
            <w:r>
              <w:rPr>
                <w:rFonts w:hint="eastAsia" w:asciiTheme="minorEastAsia" w:hAnsiTheme="minorEastAsia" w:eastAsiaTheme="minorEastAsia"/>
                <w:szCs w:val="21"/>
                <w:highlight w:val="none"/>
                <w:lang w:val="en-US" w:eastAsia="zh-CN"/>
              </w:rPr>
              <w:t>38</w:t>
            </w:r>
            <w:r>
              <w:rPr>
                <w:rFonts w:hint="eastAsia" w:asciiTheme="minorEastAsia" w:hAnsiTheme="minorEastAsia" w:eastAsiaTheme="minorEastAsia"/>
                <w:szCs w:val="21"/>
                <w:highlight w:val="none"/>
              </w:rPr>
              <w:t>项认证认可行业标准制修订计划项目的通知（国认监〔202</w:t>
            </w:r>
            <w:r>
              <w:rPr>
                <w:rFonts w:hint="eastAsia" w:asciiTheme="minorEastAsia" w:hAnsiTheme="minorEastAsia" w:eastAsiaTheme="minorEastAsia"/>
                <w:szCs w:val="21"/>
                <w:highlight w:val="none"/>
                <w:lang w:val="en-US" w:eastAsia="zh-CN"/>
              </w:rPr>
              <w:t>5</w:t>
            </w:r>
            <w:r>
              <w:rPr>
                <w:rFonts w:hint="eastAsia" w:asciiTheme="minorEastAsia" w:hAnsiTheme="minorEastAsia" w:eastAsiaTheme="minorEastAsia"/>
                <w:szCs w:val="21"/>
                <w:highlight w:val="none"/>
              </w:rPr>
              <w:t>〕</w:t>
            </w:r>
            <w:r>
              <w:rPr>
                <w:rFonts w:hint="eastAsia" w:asciiTheme="minorEastAsia" w:hAnsiTheme="minorEastAsia" w:eastAsiaTheme="minorEastAsia"/>
                <w:szCs w:val="21"/>
                <w:highlight w:val="none"/>
                <w:lang w:val="en-US" w:eastAsia="zh-CN"/>
              </w:rPr>
              <w:t>5</w:t>
            </w:r>
            <w:r>
              <w:rPr>
                <w:rFonts w:hint="eastAsia" w:asciiTheme="minorEastAsia" w:hAnsiTheme="minorEastAsia" w:eastAsiaTheme="minorEastAsia"/>
                <w:szCs w:val="21"/>
                <w:highlight w:val="none"/>
              </w:rPr>
              <w:t>号）</w:t>
            </w:r>
          </w:p>
        </w:tc>
        <w:tc>
          <w:tcPr>
            <w:tcW w:w="964" w:type="dxa"/>
            <w:tcBorders>
              <w:left w:val="single" w:color="auto" w:sz="4" w:space="0"/>
              <w:bottom w:val="single" w:color="auto" w:sz="4" w:space="0"/>
              <w:right w:val="single" w:color="auto" w:sz="4" w:space="0"/>
            </w:tcBorders>
            <w:vAlign w:val="center"/>
          </w:tcPr>
          <w:p w14:paraId="6777CEE2">
            <w:pPr>
              <w:jc w:val="center"/>
              <w:rPr>
                <w:rFonts w:ascii="宋体" w:hAnsi="宋体"/>
                <w:color w:val="000000"/>
                <w:szCs w:val="21"/>
                <w:highlight w:val="none"/>
              </w:rPr>
            </w:pPr>
            <w:r>
              <w:rPr>
                <w:rFonts w:ascii="宋体" w:hAnsi="宋体"/>
                <w:color w:val="000000"/>
                <w:szCs w:val="21"/>
                <w:highlight w:val="none"/>
              </w:rPr>
              <w:t>计划编号</w:t>
            </w:r>
          </w:p>
        </w:tc>
        <w:tc>
          <w:tcPr>
            <w:tcW w:w="1587" w:type="dxa"/>
            <w:tcBorders>
              <w:left w:val="single" w:color="auto" w:sz="4" w:space="0"/>
              <w:bottom w:val="single" w:color="auto" w:sz="4" w:space="0"/>
            </w:tcBorders>
            <w:vAlign w:val="center"/>
          </w:tcPr>
          <w:p w14:paraId="0492BCAB">
            <w:pPr>
              <w:rPr>
                <w:rFonts w:hint="eastAsia"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rPr>
              <w:t>20</w:t>
            </w:r>
            <w:r>
              <w:rPr>
                <w:rFonts w:hint="eastAsia" w:asciiTheme="minorEastAsia" w:hAnsiTheme="minorEastAsia" w:eastAsiaTheme="minorEastAsia"/>
                <w:color w:val="000000"/>
                <w:szCs w:val="21"/>
                <w:highlight w:val="none"/>
                <w:lang w:val="en-US" w:eastAsia="zh-CN"/>
              </w:rPr>
              <w:t>25</w:t>
            </w:r>
            <w:r>
              <w:rPr>
                <w:rFonts w:hint="eastAsia" w:asciiTheme="minorEastAsia" w:hAnsiTheme="minorEastAsia" w:eastAsiaTheme="minorEastAsia"/>
                <w:color w:val="000000"/>
                <w:szCs w:val="21"/>
                <w:highlight w:val="none"/>
              </w:rPr>
              <w:t>RB01</w:t>
            </w:r>
            <w:r>
              <w:rPr>
                <w:rFonts w:hint="eastAsia" w:asciiTheme="minorEastAsia" w:hAnsiTheme="minorEastAsia" w:eastAsiaTheme="minorEastAsia"/>
                <w:color w:val="000000"/>
                <w:szCs w:val="21"/>
                <w:highlight w:val="none"/>
                <w:lang w:val="en-US" w:eastAsia="zh-CN"/>
              </w:rPr>
              <w:t>0</w:t>
            </w:r>
          </w:p>
        </w:tc>
      </w:tr>
      <w:tr w14:paraId="2F714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029" w:hRule="atLeast"/>
        </w:trPr>
        <w:tc>
          <w:tcPr>
            <w:tcW w:w="1729" w:type="dxa"/>
            <w:vAlign w:val="center"/>
          </w:tcPr>
          <w:p w14:paraId="2242336A">
            <w:pPr>
              <w:spacing w:line="360" w:lineRule="exact"/>
              <w:ind w:left="141" w:leftChars="67" w:right="176" w:rightChars="84"/>
              <w:rPr>
                <w:rFonts w:ascii="宋体" w:hAnsi="宋体"/>
                <w:color w:val="000000"/>
                <w:szCs w:val="21"/>
                <w:highlight w:val="none"/>
              </w:rPr>
            </w:pPr>
            <w:r>
              <w:rPr>
                <w:rFonts w:hint="eastAsia" w:ascii="宋体" w:hAnsi="宋体"/>
                <w:color w:val="000000"/>
                <w:szCs w:val="21"/>
                <w:highlight w:val="none"/>
              </w:rPr>
              <w:t>1.4制（修）订</w:t>
            </w:r>
          </w:p>
        </w:tc>
        <w:tc>
          <w:tcPr>
            <w:tcW w:w="9072" w:type="dxa"/>
            <w:gridSpan w:val="5"/>
            <w:vAlign w:val="center"/>
          </w:tcPr>
          <w:p w14:paraId="2DABB0CA">
            <w:pPr>
              <w:jc w:val="left"/>
              <w:rPr>
                <w:rFonts w:ascii="宋体" w:hAnsi="宋体"/>
                <w:snapToGrid w:val="0"/>
                <w:color w:val="000000"/>
                <w:kern w:val="0"/>
                <w:szCs w:val="21"/>
                <w:highlight w:val="none"/>
              </w:rPr>
            </w:pPr>
            <w:r>
              <w:rPr>
                <w:rFonts w:hint="eastAsia" w:ascii="宋体" w:hAnsi="宋体"/>
                <w:color w:val="000000"/>
                <w:szCs w:val="21"/>
                <w:highlight w:val="none"/>
              </w:rPr>
              <w:t>■</w:t>
            </w:r>
            <w:r>
              <w:rPr>
                <w:rFonts w:hint="eastAsia" w:ascii="宋体" w:hAnsi="宋体"/>
                <w:snapToGrid w:val="0"/>
                <w:color w:val="000000"/>
                <w:kern w:val="0"/>
                <w:szCs w:val="21"/>
                <w:highlight w:val="none"/>
              </w:rPr>
              <w:t>制定     □修订</w:t>
            </w:r>
            <w:r>
              <w:rPr>
                <w:rFonts w:hint="eastAsia" w:ascii="宋体" w:hAnsi="宋体"/>
                <w:szCs w:val="21"/>
                <w:highlight w:val="none"/>
              </w:rPr>
              <w:t>（被修订标准名称及编号：                      ）</w:t>
            </w:r>
          </w:p>
        </w:tc>
      </w:tr>
      <w:tr w14:paraId="38891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5" w:hRule="atLeast"/>
        </w:trPr>
        <w:tc>
          <w:tcPr>
            <w:tcW w:w="1729" w:type="dxa"/>
            <w:vAlign w:val="center"/>
          </w:tcPr>
          <w:p w14:paraId="11D8E49C">
            <w:pPr>
              <w:ind w:left="141" w:leftChars="67" w:right="176" w:rightChars="84"/>
              <w:rPr>
                <w:rFonts w:ascii="宋体" w:hAnsi="宋体"/>
                <w:color w:val="000000"/>
                <w:szCs w:val="21"/>
                <w:highlight w:val="none"/>
              </w:rPr>
            </w:pPr>
            <w:r>
              <w:rPr>
                <w:rFonts w:ascii="宋体" w:hAnsi="宋体"/>
                <w:color w:val="000000"/>
                <w:szCs w:val="21"/>
                <w:highlight w:val="none"/>
              </w:rPr>
              <w:t>1.5 起止时间</w:t>
            </w:r>
          </w:p>
        </w:tc>
        <w:tc>
          <w:tcPr>
            <w:tcW w:w="9072" w:type="dxa"/>
            <w:gridSpan w:val="5"/>
            <w:vAlign w:val="center"/>
          </w:tcPr>
          <w:p w14:paraId="2A3AD95F">
            <w:pPr>
              <w:jc w:val="center"/>
              <w:rPr>
                <w:rFonts w:asciiTheme="minorEastAsia" w:hAnsiTheme="minorEastAsia" w:eastAsiaTheme="minorEastAsia"/>
                <w:color w:val="000000"/>
                <w:szCs w:val="21"/>
                <w:highlight w:val="none"/>
              </w:rPr>
            </w:pPr>
            <w:r>
              <w:rPr>
                <w:rFonts w:hint="default" w:ascii="Times New Roman" w:hAnsi="Times New Roman" w:cs="Times New Roman" w:eastAsiaTheme="minorEastAsia"/>
                <w:color w:val="000000"/>
                <w:szCs w:val="21"/>
                <w:highlight w:val="none"/>
              </w:rPr>
              <w:t>202</w:t>
            </w:r>
            <w:r>
              <w:rPr>
                <w:rFonts w:hint="eastAsia" w:cs="Times New Roman" w:eastAsiaTheme="minorEastAsia"/>
                <w:color w:val="000000"/>
                <w:szCs w:val="21"/>
                <w:highlight w:val="none"/>
                <w:lang w:val="en-US" w:eastAsia="zh-CN"/>
              </w:rPr>
              <w:t>5</w:t>
            </w:r>
            <w:r>
              <w:rPr>
                <w:rFonts w:hint="default" w:ascii="Times New Roman" w:hAnsi="Times New Roman" w:cs="Times New Roman" w:eastAsiaTheme="minorEastAsia"/>
                <w:color w:val="000000"/>
                <w:szCs w:val="21"/>
                <w:highlight w:val="none"/>
              </w:rPr>
              <w:t>年</w:t>
            </w:r>
            <w:r>
              <w:rPr>
                <w:rFonts w:hint="eastAsia" w:cs="Times New Roman" w:eastAsiaTheme="minorEastAsia"/>
                <w:color w:val="000000"/>
                <w:szCs w:val="21"/>
                <w:highlight w:val="none"/>
                <w:lang w:val="en-US" w:eastAsia="zh-CN"/>
              </w:rPr>
              <w:t>5</w:t>
            </w:r>
            <w:r>
              <w:rPr>
                <w:rFonts w:hint="default" w:ascii="Times New Roman" w:hAnsi="Times New Roman" w:cs="Times New Roman" w:eastAsiaTheme="minorEastAsia"/>
                <w:color w:val="000000"/>
                <w:szCs w:val="21"/>
                <w:highlight w:val="none"/>
              </w:rPr>
              <w:t>月 ~ 202</w:t>
            </w:r>
            <w:r>
              <w:rPr>
                <w:rFonts w:hint="eastAsia" w:cs="Times New Roman" w:eastAsiaTheme="minorEastAsia"/>
                <w:color w:val="000000"/>
                <w:szCs w:val="21"/>
                <w:highlight w:val="none"/>
                <w:lang w:val="en-US" w:eastAsia="zh-CN"/>
              </w:rPr>
              <w:t>7</w:t>
            </w:r>
            <w:r>
              <w:rPr>
                <w:rFonts w:hint="default" w:ascii="Times New Roman" w:hAnsi="Times New Roman" w:cs="Times New Roman" w:eastAsiaTheme="minorEastAsia"/>
                <w:color w:val="000000"/>
                <w:szCs w:val="21"/>
                <w:highlight w:val="none"/>
              </w:rPr>
              <w:t>年</w:t>
            </w:r>
            <w:r>
              <w:rPr>
                <w:rFonts w:hint="eastAsia" w:cs="Times New Roman" w:eastAsiaTheme="minorEastAsia"/>
                <w:color w:val="000000"/>
                <w:szCs w:val="21"/>
                <w:highlight w:val="none"/>
                <w:lang w:val="en-US" w:eastAsia="zh-CN"/>
              </w:rPr>
              <w:t>5</w:t>
            </w:r>
            <w:r>
              <w:rPr>
                <w:rFonts w:hint="default" w:ascii="Times New Roman" w:hAnsi="Times New Roman" w:cs="Times New Roman" w:eastAsiaTheme="minorEastAsia"/>
                <w:color w:val="000000"/>
                <w:szCs w:val="21"/>
                <w:highlight w:val="none"/>
              </w:rPr>
              <w:t>月</w:t>
            </w:r>
          </w:p>
        </w:tc>
      </w:tr>
      <w:tr w14:paraId="2E87EC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86" w:hRule="atLeast"/>
        </w:trPr>
        <w:tc>
          <w:tcPr>
            <w:tcW w:w="1729" w:type="dxa"/>
            <w:vAlign w:val="center"/>
          </w:tcPr>
          <w:p w14:paraId="521D8DD5">
            <w:pPr>
              <w:ind w:left="141" w:leftChars="67" w:right="176" w:rightChars="84"/>
              <w:rPr>
                <w:rFonts w:ascii="宋体" w:hAnsi="宋体"/>
                <w:color w:val="000000"/>
                <w:szCs w:val="21"/>
                <w:highlight w:val="none"/>
              </w:rPr>
            </w:pPr>
            <w:r>
              <w:rPr>
                <w:rFonts w:ascii="宋体" w:hAnsi="宋体"/>
                <w:color w:val="000000"/>
                <w:szCs w:val="21"/>
                <w:highlight w:val="none"/>
              </w:rPr>
              <w:t xml:space="preserve">1.6 </w:t>
            </w:r>
            <w:r>
              <w:rPr>
                <w:rFonts w:hint="eastAsia" w:ascii="宋体" w:hAnsi="宋体"/>
                <w:color w:val="000000"/>
                <w:szCs w:val="21"/>
                <w:highlight w:val="none"/>
              </w:rPr>
              <w:t>标准起草</w:t>
            </w:r>
            <w:r>
              <w:rPr>
                <w:rFonts w:ascii="宋体" w:hAnsi="宋体"/>
                <w:color w:val="000000"/>
                <w:szCs w:val="21"/>
                <w:highlight w:val="none"/>
              </w:rPr>
              <w:t>单位</w:t>
            </w:r>
          </w:p>
        </w:tc>
        <w:tc>
          <w:tcPr>
            <w:tcW w:w="9072" w:type="dxa"/>
            <w:gridSpan w:val="5"/>
            <w:vAlign w:val="center"/>
          </w:tcPr>
          <w:p w14:paraId="06ED4F15">
            <w:pPr>
              <w:jc w:val="left"/>
              <w:rPr>
                <w:rFonts w:asciiTheme="majorEastAsia" w:hAnsiTheme="majorEastAsia" w:eastAsiaTheme="minorEastAsia"/>
                <w:color w:val="000000"/>
                <w:szCs w:val="21"/>
                <w:highlight w:val="none"/>
              </w:rPr>
            </w:pPr>
            <w:r>
              <w:rPr>
                <w:rFonts w:hint="eastAsia" w:asciiTheme="majorEastAsia" w:hAnsiTheme="majorEastAsia" w:eastAsiaTheme="majorEastAsia"/>
                <w:color w:val="000000"/>
                <w:szCs w:val="21"/>
                <w:highlight w:val="none"/>
              </w:rPr>
              <w:t>冶金工业规划研究院、河钢集团有限公司、首钢集团有限公司、江苏沙钢集团有限公司</w:t>
            </w:r>
            <w:r>
              <w:rPr>
                <w:rFonts w:hint="eastAsia" w:asciiTheme="majorEastAsia" w:hAnsiTheme="majorEastAsia" w:eastAsiaTheme="majorEastAsia"/>
                <w:color w:val="000000"/>
                <w:szCs w:val="21"/>
                <w:highlight w:val="none"/>
                <w:lang w:val="en-US" w:eastAsia="zh-CN"/>
              </w:rPr>
              <w:t>等</w:t>
            </w:r>
            <w:r>
              <w:rPr>
                <w:rFonts w:hint="eastAsia" w:asciiTheme="majorEastAsia" w:hAnsiTheme="majorEastAsia" w:eastAsiaTheme="majorEastAsia"/>
                <w:color w:val="000000"/>
                <w:szCs w:val="21"/>
                <w:highlight w:val="none"/>
              </w:rPr>
              <w:t>。</w:t>
            </w:r>
          </w:p>
        </w:tc>
      </w:tr>
      <w:tr w14:paraId="26834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60" w:hRule="atLeast"/>
        </w:trPr>
        <w:tc>
          <w:tcPr>
            <w:tcW w:w="1729" w:type="dxa"/>
            <w:vAlign w:val="center"/>
          </w:tcPr>
          <w:p w14:paraId="6233A361">
            <w:pPr>
              <w:ind w:left="141" w:leftChars="67" w:right="176" w:rightChars="84"/>
              <w:rPr>
                <w:rFonts w:ascii="宋体" w:hAnsi="宋体"/>
                <w:color w:val="000000"/>
                <w:szCs w:val="21"/>
                <w:highlight w:val="none"/>
              </w:rPr>
            </w:pPr>
            <w:r>
              <w:rPr>
                <w:rFonts w:ascii="宋体" w:hAnsi="宋体"/>
                <w:color w:val="000000"/>
                <w:szCs w:val="21"/>
                <w:highlight w:val="none"/>
              </w:rPr>
              <w:t>1.7 起草</w:t>
            </w:r>
            <w:r>
              <w:rPr>
                <w:rFonts w:hint="eastAsia" w:ascii="宋体" w:hAnsi="宋体"/>
                <w:color w:val="000000"/>
                <w:szCs w:val="21"/>
                <w:highlight w:val="none"/>
              </w:rPr>
              <w:t>组成员</w:t>
            </w:r>
          </w:p>
        </w:tc>
        <w:tc>
          <w:tcPr>
            <w:tcW w:w="9072" w:type="dxa"/>
            <w:gridSpan w:val="5"/>
            <w:vAlign w:val="center"/>
          </w:tcPr>
          <w:p w14:paraId="5EDCDF46">
            <w:pPr>
              <w:rPr>
                <w:rFonts w:asciiTheme="minorEastAsia" w:hAnsiTheme="minorEastAsia" w:eastAsiaTheme="minorEastAsia"/>
                <w:color w:val="000000"/>
                <w:szCs w:val="21"/>
                <w:highlight w:val="none"/>
              </w:rPr>
            </w:pPr>
            <w:r>
              <w:rPr>
                <w:rFonts w:hint="eastAsia" w:asciiTheme="minorEastAsia" w:hAnsiTheme="minorEastAsia" w:eastAsiaTheme="minorEastAsia"/>
                <w:color w:val="000000"/>
                <w:szCs w:val="21"/>
                <w:highlight w:val="none"/>
              </w:rPr>
              <w:t>肖邦国、</w:t>
            </w:r>
            <w:r>
              <w:rPr>
                <w:rFonts w:hint="eastAsia"/>
                <w:szCs w:val="21"/>
                <w:highlight w:val="none"/>
              </w:rPr>
              <w:t>霍咚梅、</w:t>
            </w:r>
            <w:r>
              <w:rPr>
                <w:rFonts w:hint="eastAsia"/>
                <w:szCs w:val="21"/>
                <w:highlight w:val="none"/>
                <w:lang w:eastAsia="zh-CN"/>
              </w:rPr>
              <w:t>王泽群、</w:t>
            </w:r>
            <w:r>
              <w:rPr>
                <w:rFonts w:hint="eastAsia" w:asciiTheme="minorEastAsia" w:hAnsiTheme="minorEastAsia" w:eastAsiaTheme="minorEastAsia"/>
                <w:color w:val="000000"/>
                <w:szCs w:val="21"/>
                <w:highlight w:val="none"/>
              </w:rPr>
              <w:t>冯帆、</w:t>
            </w:r>
            <w:r>
              <w:rPr>
                <w:rFonts w:hint="eastAsia" w:asciiTheme="minorEastAsia" w:hAnsiTheme="minorEastAsia" w:eastAsiaTheme="minorEastAsia"/>
                <w:color w:val="000000"/>
                <w:szCs w:val="21"/>
                <w:highlight w:val="none"/>
                <w:lang w:eastAsia="zh-CN"/>
              </w:rPr>
              <w:t>王超、王强、郑志航</w:t>
            </w:r>
            <w:r>
              <w:rPr>
                <w:rFonts w:hint="eastAsia" w:asciiTheme="minorEastAsia" w:hAnsiTheme="minorEastAsia" w:eastAsiaTheme="minorEastAsia"/>
                <w:color w:val="000000"/>
                <w:szCs w:val="21"/>
                <w:highlight w:val="none"/>
              </w:rPr>
              <w:t>等</w:t>
            </w:r>
          </w:p>
        </w:tc>
      </w:tr>
      <w:tr w14:paraId="57E767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264" w:hRule="exact"/>
        </w:trPr>
        <w:tc>
          <w:tcPr>
            <w:tcW w:w="1729" w:type="dxa"/>
            <w:tcBorders>
              <w:bottom w:val="single" w:color="auto" w:sz="4" w:space="0"/>
            </w:tcBorders>
            <w:vAlign w:val="center"/>
          </w:tcPr>
          <w:p w14:paraId="4612202E">
            <w:pPr>
              <w:ind w:left="141" w:leftChars="67" w:right="176" w:rightChars="84"/>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8标准体系表内编号</w:t>
            </w:r>
          </w:p>
        </w:tc>
        <w:tc>
          <w:tcPr>
            <w:tcW w:w="9072" w:type="dxa"/>
            <w:gridSpan w:val="5"/>
            <w:tcBorders>
              <w:bottom w:val="single" w:color="auto" w:sz="4" w:space="0"/>
            </w:tcBorders>
            <w:vAlign w:val="center"/>
          </w:tcPr>
          <w:p w14:paraId="6F432E77">
            <w:pPr>
              <w:rPr>
                <w:rFonts w:ascii="宋体" w:hAnsi="宋体"/>
                <w:color w:val="000000"/>
                <w:szCs w:val="21"/>
                <w:highlight w:val="none"/>
              </w:rPr>
            </w:pPr>
            <w:r>
              <w:rPr>
                <w:rFonts w:hint="eastAsia" w:ascii="宋体" w:hAnsi="宋体"/>
                <w:color w:val="000000"/>
                <w:szCs w:val="21"/>
                <w:highlight w:val="none"/>
              </w:rPr>
              <w:t>无</w:t>
            </w:r>
          </w:p>
        </w:tc>
      </w:tr>
      <w:tr w14:paraId="568B20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618" w:hRule="exact"/>
        </w:trPr>
        <w:tc>
          <w:tcPr>
            <w:tcW w:w="1729" w:type="dxa"/>
            <w:tcBorders>
              <w:top w:val="single" w:color="auto" w:sz="4" w:space="0"/>
              <w:left w:val="single" w:color="auto" w:sz="4" w:space="0"/>
              <w:bottom w:val="single" w:color="auto" w:sz="4" w:space="0"/>
              <w:right w:val="single" w:color="auto" w:sz="4" w:space="0"/>
            </w:tcBorders>
            <w:vAlign w:val="center"/>
          </w:tcPr>
          <w:p w14:paraId="3E97C785">
            <w:pPr>
              <w:ind w:left="141" w:leftChars="67" w:right="176" w:rightChars="84"/>
              <w:rPr>
                <w:rFonts w:ascii="宋体" w:hAnsi="宋体"/>
                <w:color w:val="000000"/>
                <w:szCs w:val="21"/>
                <w:highlight w:val="none"/>
              </w:rPr>
            </w:pPr>
            <w:r>
              <w:rPr>
                <w:rFonts w:ascii="宋体" w:hAnsi="宋体"/>
                <w:color w:val="000000"/>
                <w:szCs w:val="21"/>
                <w:highlight w:val="none"/>
              </w:rPr>
              <w:t>1.</w:t>
            </w:r>
            <w:r>
              <w:rPr>
                <w:rFonts w:hint="eastAsia" w:ascii="宋体" w:hAnsi="宋体"/>
                <w:color w:val="000000"/>
                <w:szCs w:val="21"/>
                <w:highlight w:val="none"/>
              </w:rPr>
              <w:t>9</w:t>
            </w:r>
            <w:r>
              <w:rPr>
                <w:rFonts w:ascii="宋体" w:hAnsi="宋体"/>
                <w:color w:val="000000"/>
                <w:szCs w:val="21"/>
                <w:highlight w:val="none"/>
              </w:rPr>
              <w:t>调整情况</w:t>
            </w:r>
          </w:p>
        </w:tc>
        <w:tc>
          <w:tcPr>
            <w:tcW w:w="9072" w:type="dxa"/>
            <w:gridSpan w:val="5"/>
            <w:tcBorders>
              <w:top w:val="single" w:color="auto" w:sz="4" w:space="0"/>
              <w:left w:val="single" w:color="auto" w:sz="4" w:space="0"/>
              <w:bottom w:val="single" w:color="auto" w:sz="4" w:space="0"/>
              <w:right w:val="single" w:color="auto" w:sz="4" w:space="0"/>
            </w:tcBorders>
            <w:vAlign w:val="center"/>
          </w:tcPr>
          <w:p w14:paraId="79344B00">
            <w:pPr>
              <w:rPr>
                <w:rFonts w:ascii="宋体" w:hAnsi="宋体"/>
                <w:color w:val="000000"/>
                <w:szCs w:val="21"/>
                <w:highlight w:val="none"/>
              </w:rPr>
            </w:pPr>
            <w:r>
              <w:rPr>
                <w:rFonts w:hint="eastAsia" w:ascii="宋体" w:hAnsi="宋体"/>
                <w:color w:val="000000"/>
                <w:szCs w:val="21"/>
                <w:highlight w:val="none"/>
              </w:rPr>
              <w:t>无</w:t>
            </w:r>
          </w:p>
        </w:tc>
      </w:tr>
    </w:tbl>
    <w:tbl>
      <w:tblPr>
        <w:tblStyle w:val="6"/>
        <w:tblpPr w:leftFromText="180" w:rightFromText="180" w:vertAnchor="text" w:horzAnchor="margin" w:tblpXSpec="center" w:tblpY="-569"/>
        <w:tblW w:w="1031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422"/>
        <w:gridCol w:w="8895"/>
      </w:tblGrid>
      <w:tr w14:paraId="36539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3" w:hRule="exact"/>
        </w:trPr>
        <w:tc>
          <w:tcPr>
            <w:tcW w:w="10317" w:type="dxa"/>
            <w:gridSpan w:val="2"/>
            <w:tcBorders>
              <w:top w:val="nil"/>
              <w:left w:val="nil"/>
              <w:bottom w:val="nil"/>
              <w:right w:val="nil"/>
            </w:tcBorders>
            <w:vAlign w:val="center"/>
          </w:tcPr>
          <w:p w14:paraId="4CDCF545">
            <w:pPr>
              <w:rPr>
                <w:rFonts w:ascii="宋体" w:hAnsi="宋体"/>
                <w:b/>
                <w:color w:val="000000"/>
                <w:szCs w:val="21"/>
                <w:highlight w:val="none"/>
              </w:rPr>
            </w:pPr>
            <w:r>
              <w:rPr>
                <w:rFonts w:hint="eastAsia" w:ascii="宋体" w:hAnsi="宋体"/>
                <w:b/>
                <w:color w:val="000000"/>
                <w:szCs w:val="21"/>
                <w:highlight w:val="none"/>
              </w:rPr>
              <w:t>2、背景情况</w:t>
            </w:r>
          </w:p>
        </w:tc>
      </w:tr>
      <w:tr w14:paraId="75370F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27" w:hRule="atLeast"/>
        </w:trPr>
        <w:tc>
          <w:tcPr>
            <w:tcW w:w="1422" w:type="dxa"/>
            <w:tcBorders>
              <w:top w:val="single" w:color="auto" w:sz="4" w:space="0"/>
              <w:left w:val="single" w:color="auto" w:sz="4" w:space="0"/>
              <w:right w:val="single" w:color="auto" w:sz="4" w:space="0"/>
            </w:tcBorders>
            <w:vAlign w:val="center"/>
          </w:tcPr>
          <w:p w14:paraId="2220290D">
            <w:pPr>
              <w:ind w:left="141" w:leftChars="67" w:right="36" w:rightChars="17"/>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2.1 目的、意义</w:t>
            </w:r>
          </w:p>
          <w:p w14:paraId="4E75586D">
            <w:pPr>
              <w:ind w:left="141" w:leftChars="67" w:right="36" w:rightChars="17"/>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（工作开展背景及要求）</w:t>
            </w:r>
          </w:p>
        </w:tc>
        <w:tc>
          <w:tcPr>
            <w:tcW w:w="8895" w:type="dxa"/>
            <w:tcBorders>
              <w:top w:val="single" w:color="auto" w:sz="4" w:space="0"/>
              <w:left w:val="single" w:color="auto" w:sz="4" w:space="0"/>
              <w:right w:val="single" w:color="auto" w:sz="4" w:space="0"/>
            </w:tcBorders>
            <w:vAlign w:val="center"/>
          </w:tcPr>
          <w:p w14:paraId="2BDC3E3E">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1. 落实政策要求</w:t>
            </w:r>
          </w:p>
          <w:p w14:paraId="740CC893">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《中国 21 世纪初可持续发展行动纲要》明确将可持续发展能力不断增强作为总体目标， 将可持续发展指标体系与监测评价作为重点领域。《关于促进钢铁工业高质量的导意见》明确“力争到 2025年，钢铁工业基本形成绿色低碳可持续的高质量发展格局”。《“十四五”工业绿色发展规划》指出要健全低碳标准体系，完善绿色评价体系，构建完整贯通的绿色供应链，全面提升绿色发展基础能力。《“十四五”推动高质量发展的国家标准体系建设规划》提出将健全绿色供应链国家标准体系，制定工厂绿色化评价作为重点任务。开展可持续钢管理体系标准建设是实现国家绿色低碳可持续发展政策要求的重要举措。</w:t>
            </w:r>
          </w:p>
          <w:p w14:paraId="25173CB1">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2. 对接国际钢铁行业绿色低碳发展需要</w:t>
            </w:r>
          </w:p>
          <w:p w14:paraId="7FBEB2E6">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2015年联合国制定的《联合国可持续发展目标》旨在从2015年到2030年间以综合方式彻底解决社会、经济和环境三个维度的发展问题，转向可持续发展道路。目前全球钢铁行业也逐步向绿色低碳可持续方向转型，下游用户对钢铁原材料也提出了越来越多绿色低碳及社会责任等方面的要求，比如宝马、沃尔沃、奔驰等参与的Steel Zero倡议和Responsible Steel联盟。从钢铁行业的发展趋势和产业需要来看，可持续性将会成为今后较长时期的关注重点，结合质量稳定、安全、环保、能源、社会责任、ESG等一直以来的市场关注方向和国际主流发展趋势，打造综合性全要素的可持续钢管理体系标准，是对接国际钢铁行业发展趋势和促进我国钢铁行业高质量发展的重要抓手。</w:t>
            </w:r>
          </w:p>
          <w:p w14:paraId="715E38A3">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3. 满足产业链协同可持续发展的需要</w:t>
            </w:r>
          </w:p>
          <w:p w14:paraId="01F73985">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可持续钢管理体系可促进钢铁行业及上下游行业的高质量可持续发展，构建完整贯通的绿色供应链，全面提升绿色发展基础能力。在汽车、建筑、石油化工等下游领域已明确提出对上游原材料的绿色、低碳、ESG的要求，钢铁生产企业应综合考虑管理、环境、社会、治理等相关方面要求，建立并运行有效的管理体系，生产出的钢铁产品，满足产业链协同可持续发展的需要。可持续钢管理体系标准将结合我国钢铁行业的特点，顺应了钢铁行业绿色低碳可持续发展的趋势和下游企业关注的重点方向，树立可持续钢管理体系的技术要求。可包括领导作用、ESG 体系、资源获取、产品质量及可持续利用、职业健康安全、劳动者权益、相关方沟通、社会责任、气候变化和温室气体排放、水治理、环境治理等方面，满足不同相关方的发展需要。</w:t>
            </w:r>
          </w:p>
          <w:p w14:paraId="3A61C4C3">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4. 规范钢铁工业可持续发展的方向</w:t>
            </w:r>
          </w:p>
          <w:p w14:paraId="136C9711">
            <w:pPr>
              <w:ind w:firstLine="420" w:firstLineChars="200"/>
              <w:rPr>
                <w:rFonts w:hint="default" w:ascii="Times New Roman" w:hAnsi="Times New Roman" w:cs="Times New Roman" w:eastAsiaTheme="minorEastAsia"/>
                <w:bCs/>
                <w:szCs w:val="21"/>
                <w:highlight w:val="none"/>
              </w:rPr>
            </w:pPr>
            <w:r>
              <w:rPr>
                <w:rFonts w:hint="default" w:ascii="Times New Roman" w:hAnsi="Times New Roman" w:cs="Times New Roman" w:eastAsiaTheme="minorEastAsia"/>
                <w:bCs/>
                <w:szCs w:val="21"/>
                <w:highlight w:val="none"/>
              </w:rPr>
              <w:t>本文件明确了钢铁行业组织实施可持续钢管理体系的各项要求，使组织能够按照统一的标准进行运作，避免管理混乱和重复工作，提升管理效率。可持续钢管理体系标准坚持持续改进理念，要求组织定期识别存在的问题和潜在的改进机会，采取相应的措施进行改进，有助于企业不断提高其管理水平和绩效。同时，本文件能够帮助钢铁企业识别和评估潜在的风险，保证钢铁企业持续生产出符合标准要求的可持续钢产品。最终，通过可持续钢管理体系标准的实施，向下游客户和市场展示钢铁企业更高的可持续发展水平，增强对企业的信任和认可，提高企业市场竞争力。</w:t>
            </w:r>
          </w:p>
          <w:p w14:paraId="7011B11B">
            <w:pPr>
              <w:ind w:firstLine="420" w:firstLineChars="200"/>
              <w:rPr>
                <w:rFonts w:hint="default" w:ascii="Times New Roman" w:hAnsi="Times New Roman" w:cs="Times New Roman" w:eastAsiaTheme="minorEastAsia"/>
                <w:bCs/>
                <w:szCs w:val="21"/>
                <w:highlight w:val="none"/>
                <w:lang w:val="en-US" w:eastAsia="zh-CN"/>
              </w:rPr>
            </w:pPr>
            <w:r>
              <w:rPr>
                <w:rFonts w:hint="default" w:ascii="Times New Roman" w:hAnsi="Times New Roman" w:cs="Times New Roman" w:eastAsiaTheme="minorEastAsia"/>
                <w:bCs/>
                <w:szCs w:val="21"/>
                <w:highlight w:val="none"/>
              </w:rPr>
              <w:t>总的来看，我国钢铁行业组织绿色低碳可持续发展的水平不尽相同，同时由于缺乏统一规范的评价标准和评价方法，也难以判断不同钢铁行业组织的能力，不便于钢铁行业上下游对于绿色低碳可持续发展形成共识。为此，有必要结合钢铁行业实际情况，建立钢铁行业组织绿色低碳可持续发展能力的综合性评价准则——可持续钢管理体系 要求，通过对钢铁行业组织的管理、环境、社会、治理、相关方等方面设置评价指标，引导钢铁上下游行业及相关方更好地评价和了解钢铁企业和钢铁产品的可持续发展水平。面对国家政策、国际趋势、行业发展、产业链协同及企业自身需要，急需开展本标准的制定工作。可持续钢管理体系重点关注钢铁行业组织和产品的可持续性，以保障供应链质量稳定、便利贸易往来、促进可持续发展。</w:t>
            </w:r>
          </w:p>
        </w:tc>
      </w:tr>
      <w:tr w14:paraId="4AC53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Pr>
        <w:tc>
          <w:tcPr>
            <w:tcW w:w="1422" w:type="dxa"/>
            <w:tcBorders>
              <w:top w:val="single" w:color="auto" w:sz="4" w:space="0"/>
              <w:left w:val="single" w:color="auto" w:sz="4" w:space="0"/>
              <w:bottom w:val="single" w:color="auto" w:sz="4" w:space="0"/>
              <w:right w:val="single" w:color="auto" w:sz="4" w:space="0"/>
            </w:tcBorders>
            <w:vAlign w:val="center"/>
          </w:tcPr>
          <w:p w14:paraId="4BD09133">
            <w:pPr>
              <w:ind w:left="141" w:leftChars="67" w:right="36" w:rightChars="17"/>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2.2 与国内外相关标准、文献的关系</w:t>
            </w:r>
          </w:p>
        </w:tc>
        <w:tc>
          <w:tcPr>
            <w:tcW w:w="8895" w:type="dxa"/>
            <w:tcBorders>
              <w:top w:val="single" w:color="auto" w:sz="4" w:space="0"/>
              <w:left w:val="single" w:color="auto" w:sz="4" w:space="0"/>
              <w:bottom w:val="single" w:color="auto" w:sz="4" w:space="0"/>
              <w:right w:val="single" w:color="auto" w:sz="4" w:space="0"/>
            </w:tcBorders>
            <w:vAlign w:val="center"/>
          </w:tcPr>
          <w:p w14:paraId="15DCF8E0">
            <w:pPr>
              <w:ind w:firstLine="420" w:firstLineChars="200"/>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目前国内外没有可持续钢管理体系相关标准。</w:t>
            </w:r>
          </w:p>
          <w:p w14:paraId="558DA242">
            <w:pPr>
              <w:ind w:firstLine="420" w:firstLineChars="200"/>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本文件按照GB/T 1.1-2020《标准化工作导则 第1部分：标准化文件的结构和起草规则》给出的规则起草。主要内容</w:t>
            </w:r>
            <w:r>
              <w:rPr>
                <w:rFonts w:hint="eastAsia" w:cs="Times New Roman" w:eastAsiaTheme="minorEastAsia"/>
                <w:szCs w:val="21"/>
                <w:highlight w:val="none"/>
                <w:lang w:val="en-US" w:eastAsia="zh-CN"/>
              </w:rPr>
              <w:t>围绕</w:t>
            </w:r>
            <w:r>
              <w:rPr>
                <w:rFonts w:hint="default" w:ascii="Times New Roman" w:hAnsi="Times New Roman" w:cs="Times New Roman" w:eastAsiaTheme="minorEastAsia"/>
                <w:szCs w:val="21"/>
                <w:highlight w:val="none"/>
              </w:rPr>
              <w:t>钢铁</w:t>
            </w:r>
            <w:r>
              <w:rPr>
                <w:rFonts w:hint="eastAsia" w:cs="Times New Roman" w:eastAsiaTheme="minorEastAsia"/>
                <w:szCs w:val="21"/>
                <w:highlight w:val="none"/>
                <w:lang w:val="en-US" w:eastAsia="zh-CN"/>
              </w:rPr>
              <w:t>企业可持续发展的“环境、经济、社会”三大维度共14项内容</w:t>
            </w:r>
            <w:r>
              <w:rPr>
                <w:rFonts w:hint="default" w:ascii="Times New Roman" w:hAnsi="Times New Roman" w:cs="Times New Roman" w:eastAsiaTheme="minorEastAsia"/>
                <w:szCs w:val="21"/>
                <w:highlight w:val="none"/>
              </w:rPr>
              <w:t>，管理方面涉及领导作用、方针、绩效等；环境方面涉及</w:t>
            </w:r>
            <w:r>
              <w:rPr>
                <w:rFonts w:hint="default" w:ascii="Times New Roman" w:hAnsi="Times New Roman" w:cs="Times New Roman" w:eastAsiaTheme="minorEastAsia"/>
                <w:szCs w:val="21"/>
                <w:highlight w:val="none"/>
                <w:lang w:val="en-US" w:eastAsia="zh-CN"/>
              </w:rPr>
              <w:t>应对气候变化</w:t>
            </w:r>
            <w:r>
              <w:rPr>
                <w:rFonts w:hint="eastAsia" w:cs="Times New Roman" w:eastAsiaTheme="minorEastAsia"/>
                <w:szCs w:val="21"/>
                <w:highlight w:val="none"/>
                <w:lang w:val="en-US" w:eastAsia="zh-CN"/>
              </w:rPr>
              <w:t>、</w:t>
            </w:r>
            <w:r>
              <w:rPr>
                <w:rFonts w:hint="default" w:ascii="Times New Roman" w:hAnsi="Times New Roman" w:cs="Times New Roman" w:eastAsiaTheme="minorEastAsia"/>
                <w:szCs w:val="21"/>
                <w:highlight w:val="none"/>
                <w:lang w:val="en-US" w:eastAsia="zh-CN"/>
              </w:rPr>
              <w:t>污染物排放</w:t>
            </w:r>
            <w:r>
              <w:rPr>
                <w:rFonts w:hint="eastAsia" w:cs="Times New Roman" w:eastAsiaTheme="minorEastAsia"/>
                <w:szCs w:val="21"/>
                <w:highlight w:val="none"/>
                <w:lang w:val="en-US" w:eastAsia="zh-CN"/>
              </w:rPr>
              <w:t>、</w:t>
            </w:r>
            <w:r>
              <w:rPr>
                <w:rFonts w:hint="default" w:ascii="Times New Roman" w:hAnsi="Times New Roman" w:cs="Times New Roman" w:eastAsiaTheme="minorEastAsia"/>
                <w:szCs w:val="21"/>
                <w:highlight w:val="none"/>
                <w:lang w:val="en-US" w:eastAsia="zh-CN"/>
              </w:rPr>
              <w:t>生态系统和生物多样性保护</w:t>
            </w:r>
            <w:r>
              <w:rPr>
                <w:rFonts w:hint="eastAsia" w:cs="Times New Roman" w:eastAsiaTheme="minorEastAsia"/>
                <w:szCs w:val="21"/>
                <w:highlight w:val="none"/>
                <w:lang w:val="en-US" w:eastAsia="zh-CN"/>
              </w:rPr>
              <w:t>、</w:t>
            </w:r>
            <w:r>
              <w:rPr>
                <w:rFonts w:hint="default" w:ascii="Times New Roman" w:hAnsi="Times New Roman" w:cs="Times New Roman" w:eastAsiaTheme="minorEastAsia"/>
                <w:szCs w:val="21"/>
                <w:highlight w:val="none"/>
                <w:lang w:val="en-US" w:eastAsia="zh-CN"/>
              </w:rPr>
              <w:t>能源利用水资源</w:t>
            </w:r>
            <w:r>
              <w:rPr>
                <w:rFonts w:hint="default" w:ascii="Times New Roman" w:hAnsi="Times New Roman" w:cs="Times New Roman" w:eastAsiaTheme="minorEastAsia"/>
                <w:szCs w:val="21"/>
                <w:highlight w:val="none"/>
              </w:rPr>
              <w:t>等；</w:t>
            </w:r>
            <w:r>
              <w:rPr>
                <w:rFonts w:hint="eastAsia" w:cs="Times New Roman" w:eastAsiaTheme="minorEastAsia"/>
                <w:szCs w:val="21"/>
                <w:highlight w:val="none"/>
                <w:lang w:val="en-US" w:eastAsia="zh-CN"/>
              </w:rPr>
              <w:t>经济方面包括循环经济、创新驱动、生产等；</w:t>
            </w:r>
            <w:r>
              <w:rPr>
                <w:rFonts w:hint="default" w:ascii="Times New Roman" w:hAnsi="Times New Roman" w:cs="Times New Roman" w:eastAsiaTheme="minorEastAsia"/>
                <w:szCs w:val="21"/>
                <w:highlight w:val="none"/>
              </w:rPr>
              <w:t>社会方面包括社会贡献</w:t>
            </w:r>
            <w:r>
              <w:rPr>
                <w:rFonts w:hint="eastAsia" w:cs="Times New Roman" w:eastAsiaTheme="minorEastAsia"/>
                <w:szCs w:val="21"/>
                <w:highlight w:val="none"/>
                <w:lang w:eastAsia="zh-CN"/>
              </w:rPr>
              <w:t>、</w:t>
            </w:r>
            <w:r>
              <w:rPr>
                <w:rFonts w:hint="default" w:ascii="Times New Roman" w:hAnsi="Times New Roman" w:cs="Times New Roman" w:eastAsiaTheme="minorEastAsia"/>
                <w:szCs w:val="21"/>
                <w:highlight w:val="none"/>
              </w:rPr>
              <w:t>供应链管理</w:t>
            </w:r>
            <w:r>
              <w:rPr>
                <w:rFonts w:hint="eastAsia" w:cs="Times New Roman" w:eastAsiaTheme="minorEastAsia"/>
                <w:szCs w:val="21"/>
                <w:highlight w:val="none"/>
                <w:lang w:eastAsia="zh-CN"/>
              </w:rPr>
              <w:t>、</w:t>
            </w:r>
            <w:r>
              <w:rPr>
                <w:rFonts w:hint="default" w:ascii="Times New Roman" w:hAnsi="Times New Roman" w:cs="Times New Roman" w:eastAsiaTheme="minorEastAsia"/>
                <w:szCs w:val="21"/>
                <w:highlight w:val="none"/>
              </w:rPr>
              <w:t>产品和服务质量</w:t>
            </w:r>
            <w:r>
              <w:rPr>
                <w:rFonts w:hint="eastAsia" w:cs="Times New Roman" w:eastAsiaTheme="minorEastAsia"/>
                <w:szCs w:val="21"/>
                <w:highlight w:val="none"/>
                <w:lang w:eastAsia="zh-CN"/>
              </w:rPr>
              <w:t>、</w:t>
            </w:r>
            <w:r>
              <w:rPr>
                <w:rFonts w:hint="eastAsia" w:cs="Times New Roman" w:eastAsiaTheme="minorEastAsia"/>
                <w:szCs w:val="21"/>
                <w:highlight w:val="none"/>
                <w:lang w:val="en-US" w:eastAsia="zh-CN"/>
              </w:rPr>
              <w:t>员工、</w:t>
            </w:r>
            <w:r>
              <w:rPr>
                <w:rFonts w:hint="default" w:ascii="Times New Roman" w:hAnsi="Times New Roman" w:cs="Times New Roman" w:eastAsiaTheme="minorEastAsia"/>
                <w:szCs w:val="21"/>
                <w:highlight w:val="none"/>
              </w:rPr>
              <w:t>利益相关方沟通</w:t>
            </w:r>
            <w:r>
              <w:rPr>
                <w:rFonts w:hint="eastAsia" w:cs="Times New Roman" w:eastAsiaTheme="minorEastAsia"/>
                <w:szCs w:val="21"/>
                <w:highlight w:val="none"/>
                <w:lang w:eastAsia="zh-CN"/>
              </w:rPr>
              <w:t>、</w:t>
            </w:r>
            <w:r>
              <w:rPr>
                <w:rFonts w:hint="default" w:ascii="Times New Roman" w:hAnsi="Times New Roman" w:cs="Times New Roman" w:eastAsiaTheme="minorEastAsia"/>
                <w:szCs w:val="21"/>
                <w:highlight w:val="none"/>
                <w:lang w:val="en-US" w:eastAsia="zh-CN"/>
              </w:rPr>
              <w:t>商业道德</w:t>
            </w:r>
            <w:r>
              <w:rPr>
                <w:rFonts w:hint="default" w:ascii="Times New Roman" w:hAnsi="Times New Roman" w:cs="Times New Roman" w:eastAsiaTheme="minorEastAsia"/>
                <w:szCs w:val="21"/>
                <w:highlight w:val="none"/>
              </w:rPr>
              <w:t>等。</w:t>
            </w:r>
          </w:p>
          <w:p w14:paraId="0F06DA9D">
            <w:pPr>
              <w:ind w:firstLine="420" w:firstLineChars="200"/>
              <w:rPr>
                <w:rFonts w:hint="default" w:ascii="Times New Roman" w:hAnsi="Times New Roman" w:cs="Times New Roman" w:eastAsiaTheme="minorEastAsia"/>
                <w:szCs w:val="21"/>
                <w:highlight w:val="none"/>
              </w:rPr>
            </w:pPr>
            <w:r>
              <w:rPr>
                <w:rFonts w:hint="default" w:ascii="Times New Roman" w:hAnsi="Times New Roman" w:cs="Times New Roman" w:eastAsiaTheme="minorEastAsia"/>
                <w:szCs w:val="21"/>
                <w:highlight w:val="none"/>
              </w:rPr>
              <w:t>与本文件相关的国外文献有2015年联合国发布的可持续发展目标（Sustainable Development Goals，缩写SDGs），为世界各国在2015-2030年内实现17项目标指明了方向。17项目标包括：无贫穷、零饥饿、良好健康与福祉、优质教育、性别平等、清洁饮水和卫生设施、经济适用的清洁能源、体面工作和经济增长、产业创新和基础设施、减少不平等、可持续城市和社区、负责消费和生产、气候行动、水下生物（海洋环境）、陆地生物（陆地生态）、和平正义与强大机构（机构正义）、促进目标实现的伙伴关系（全球伙伴）。本文件参考了SDGs的17项目标，结合我国钢铁行业实际情况，提出与我国钢铁行业紧密相关的重点指标进行评价。</w:t>
            </w:r>
          </w:p>
          <w:p w14:paraId="3CF911E5">
            <w:pPr>
              <w:ind w:firstLine="420" w:firstLineChars="200"/>
              <w:rPr>
                <w:rFonts w:hint="default" w:ascii="Times New Roman" w:hAnsi="Times New Roman" w:cs="Times New Roman" w:eastAsiaTheme="minorEastAsia"/>
                <w:color w:val="000000"/>
                <w:szCs w:val="21"/>
                <w:highlight w:val="none"/>
              </w:rPr>
            </w:pPr>
            <w:r>
              <w:rPr>
                <w:rFonts w:hint="default" w:ascii="Times New Roman" w:hAnsi="Times New Roman" w:cs="Times New Roman" w:eastAsiaTheme="minorEastAsia"/>
                <w:szCs w:val="21"/>
                <w:highlight w:val="none"/>
              </w:rPr>
              <w:t>此外，欧洲最大钢铁企业安赛乐米塔尔牵头成立非政府组织Responsible Steel，发布了Responsible Steel international standard（直译为“责任钢国际标准”，实际为非营利组织发布的文件）。规定了钢铁企业的排放、污染、负责任的采购、人权、劳工标准等内容，计划依据该文件实施认证，确保企业和消费者能够确信使用的钢材在每个阶段都是以负责任的方式采购和生产的。本文件立足于我国钢铁行业实际，以支撑具有中国特色的钢铁行业认证制度为导向，更加适用于我国钢铁企业的可持续性评价，对减少国外认证标准对我国钢铁产业的不利影响发挥重要作用。</w:t>
            </w:r>
          </w:p>
        </w:tc>
      </w:tr>
    </w:tbl>
    <w:tbl>
      <w:tblPr>
        <w:tblStyle w:val="6"/>
        <w:tblW w:w="1046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94"/>
        <w:gridCol w:w="1116"/>
        <w:gridCol w:w="198"/>
        <w:gridCol w:w="2752"/>
        <w:gridCol w:w="2814"/>
        <w:gridCol w:w="3184"/>
        <w:gridCol w:w="302"/>
      </w:tblGrid>
      <w:tr w14:paraId="049396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Before w:val="1"/>
          <w:wBefore w:w="94" w:type="dxa"/>
          <w:trHeight w:val="465" w:hRule="exact"/>
          <w:jc w:val="center"/>
        </w:trPr>
        <w:tc>
          <w:tcPr>
            <w:tcW w:w="10366" w:type="dxa"/>
            <w:gridSpan w:val="6"/>
            <w:tcBorders>
              <w:top w:val="nil"/>
              <w:left w:val="nil"/>
              <w:bottom w:val="nil"/>
              <w:right w:val="nil"/>
            </w:tcBorders>
            <w:vAlign w:val="center"/>
          </w:tcPr>
          <w:p w14:paraId="2165C047">
            <w:pPr>
              <w:rPr>
                <w:rFonts w:ascii="宋体" w:hAnsi="宋体"/>
                <w:b/>
                <w:color w:val="000000"/>
                <w:szCs w:val="21"/>
                <w:highlight w:val="yellow"/>
              </w:rPr>
            </w:pPr>
            <w:r>
              <w:rPr>
                <w:rFonts w:hint="eastAsia" w:ascii="宋体" w:hAnsi="宋体"/>
                <w:b/>
                <w:color w:val="000000"/>
                <w:szCs w:val="21"/>
                <w:highlight w:val="none"/>
              </w:rPr>
              <w:t>3  编制过程</w:t>
            </w:r>
          </w:p>
        </w:tc>
      </w:tr>
      <w:tr w14:paraId="7F328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Before w:val="1"/>
          <w:wBefore w:w="94" w:type="dxa"/>
          <w:trHeight w:val="2629" w:hRule="atLeast"/>
          <w:jc w:val="center"/>
        </w:trPr>
        <w:tc>
          <w:tcPr>
            <w:tcW w:w="1314" w:type="dxa"/>
            <w:gridSpan w:val="2"/>
            <w:tcBorders>
              <w:top w:val="single" w:color="auto" w:sz="4" w:space="0"/>
              <w:bottom w:val="single" w:color="auto" w:sz="4" w:space="0"/>
            </w:tcBorders>
            <w:vAlign w:val="center"/>
          </w:tcPr>
          <w:p w14:paraId="595EEFC5">
            <w:pPr>
              <w:ind w:left="141" w:leftChars="67" w:right="176" w:rightChars="84"/>
              <w:rPr>
                <w:rFonts w:ascii="宋体" w:hAnsi="宋体"/>
                <w:color w:val="000000"/>
                <w:szCs w:val="21"/>
                <w:highlight w:val="none"/>
              </w:rPr>
            </w:pPr>
            <w:r>
              <w:rPr>
                <w:rFonts w:ascii="宋体" w:hAnsi="宋体"/>
                <w:color w:val="000000"/>
                <w:szCs w:val="21"/>
                <w:highlight w:val="none"/>
              </w:rPr>
              <w:t>3.</w:t>
            </w:r>
            <w:r>
              <w:rPr>
                <w:rFonts w:hint="eastAsia" w:ascii="宋体" w:hAnsi="宋体"/>
                <w:color w:val="000000"/>
                <w:szCs w:val="21"/>
                <w:highlight w:val="none"/>
              </w:rPr>
              <w:t>1</w:t>
            </w:r>
            <w:r>
              <w:rPr>
                <w:rFonts w:ascii="宋体" w:hAnsi="宋体"/>
                <w:color w:val="000000"/>
                <w:szCs w:val="21"/>
                <w:highlight w:val="none"/>
              </w:rPr>
              <w:t xml:space="preserve"> 分工情况</w:t>
            </w:r>
          </w:p>
        </w:tc>
        <w:tc>
          <w:tcPr>
            <w:tcW w:w="9052" w:type="dxa"/>
            <w:gridSpan w:val="4"/>
            <w:tcBorders>
              <w:bottom w:val="single" w:color="auto" w:sz="4" w:space="0"/>
            </w:tcBorders>
            <w:vAlign w:val="center"/>
          </w:tcPr>
          <w:p w14:paraId="0EE139FC">
            <w:pPr>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项目总体负责人肖邦国负责整个方案的设计和技术把关。</w:t>
            </w:r>
          </w:p>
          <w:p w14:paraId="0C166579">
            <w:pPr>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项目负责人</w:t>
            </w:r>
            <w:r>
              <w:rPr>
                <w:rFonts w:hint="eastAsia" w:asciiTheme="minorEastAsia" w:hAnsiTheme="minorEastAsia" w:eastAsiaTheme="minorEastAsia"/>
                <w:szCs w:val="21"/>
                <w:highlight w:val="none"/>
                <w:lang w:val="en-US" w:eastAsia="zh-CN"/>
              </w:rPr>
              <w:t>霍咚梅</w:t>
            </w:r>
            <w:r>
              <w:rPr>
                <w:rFonts w:hint="eastAsia" w:asciiTheme="minorEastAsia" w:hAnsiTheme="minorEastAsia" w:eastAsiaTheme="minorEastAsia"/>
                <w:szCs w:val="21"/>
                <w:highlight w:val="none"/>
              </w:rPr>
              <w:t>负责标准</w:t>
            </w:r>
            <w:r>
              <w:rPr>
                <w:rFonts w:hint="eastAsia" w:asciiTheme="minorEastAsia" w:hAnsiTheme="minorEastAsia" w:eastAsiaTheme="minorEastAsia"/>
                <w:szCs w:val="21"/>
                <w:highlight w:val="none"/>
                <w:lang w:eastAsia="zh-CN"/>
              </w:rPr>
              <w:t>编制的统筹组织和</w:t>
            </w:r>
            <w:r>
              <w:rPr>
                <w:rFonts w:hint="eastAsia" w:asciiTheme="minorEastAsia" w:hAnsiTheme="minorEastAsia" w:eastAsiaTheme="minorEastAsia"/>
                <w:szCs w:val="21"/>
                <w:highlight w:val="none"/>
              </w:rPr>
              <w:t>全面协调工作。</w:t>
            </w:r>
          </w:p>
          <w:p w14:paraId="4B6D030D">
            <w:pPr>
              <w:ind w:firstLine="420" w:firstLineChars="200"/>
              <w:rPr>
                <w:rFonts w:asciiTheme="minorEastAsia" w:hAnsiTheme="minorEastAsia" w:eastAsiaTheme="minorEastAsia"/>
                <w:szCs w:val="21"/>
                <w:highlight w:val="none"/>
              </w:rPr>
            </w:pPr>
            <w:r>
              <w:rPr>
                <w:rFonts w:hint="eastAsia" w:asciiTheme="minorEastAsia" w:hAnsiTheme="minorEastAsia" w:eastAsiaTheme="minorEastAsia"/>
                <w:szCs w:val="21"/>
                <w:highlight w:val="none"/>
              </w:rPr>
              <w:t>项目主要起草人</w:t>
            </w:r>
            <w:r>
              <w:rPr>
                <w:rFonts w:hint="eastAsia" w:asciiTheme="minorEastAsia" w:hAnsiTheme="minorEastAsia" w:eastAsiaTheme="minorEastAsia"/>
                <w:szCs w:val="21"/>
                <w:highlight w:val="none"/>
                <w:lang w:eastAsia="zh-CN"/>
              </w:rPr>
              <w:t>王泽群</w:t>
            </w:r>
            <w:r>
              <w:rPr>
                <w:rFonts w:hint="eastAsia" w:asciiTheme="minorEastAsia" w:hAnsiTheme="minorEastAsia" w:eastAsiaTheme="minorEastAsia"/>
                <w:szCs w:val="21"/>
                <w:highlight w:val="none"/>
              </w:rPr>
              <w:t>、</w:t>
            </w:r>
            <w:r>
              <w:rPr>
                <w:rFonts w:hint="eastAsia" w:asciiTheme="minorEastAsia" w:hAnsiTheme="minorEastAsia" w:eastAsiaTheme="minorEastAsia"/>
                <w:szCs w:val="21"/>
                <w:highlight w:val="none"/>
                <w:lang w:eastAsia="zh-CN"/>
              </w:rPr>
              <w:t>冯帆、王超</w:t>
            </w:r>
            <w:r>
              <w:rPr>
                <w:rFonts w:hint="eastAsia" w:asciiTheme="minorEastAsia" w:hAnsiTheme="minorEastAsia" w:eastAsiaTheme="minorEastAsia"/>
                <w:szCs w:val="21"/>
                <w:highlight w:val="none"/>
              </w:rPr>
              <w:t>密切与行业内外专家取得联系，并保持良好合作关系。确保专家、生产企业和产业链上下游企业都能提供所研究领域中的必要技术支撑，共同支撑项目负责人做好方案设计和技术路线的拟定，负责标准的整体编制、布局、技术指标等。</w:t>
            </w:r>
          </w:p>
          <w:p w14:paraId="2D05ADD8">
            <w:pPr>
              <w:ind w:firstLine="420" w:firstLineChars="200"/>
              <w:rPr>
                <w:rFonts w:hint="default" w:ascii="方正仿宋简体" w:hAnsi="宋体" w:eastAsiaTheme="minorEastAsia"/>
                <w:color w:val="000000"/>
                <w:szCs w:val="21"/>
                <w:highlight w:val="none"/>
                <w:lang w:val="en-US" w:eastAsia="zh-CN"/>
              </w:rPr>
            </w:pPr>
            <w:r>
              <w:rPr>
                <w:rFonts w:hint="eastAsia" w:asciiTheme="minorEastAsia" w:hAnsiTheme="minorEastAsia" w:eastAsiaTheme="minorEastAsia"/>
                <w:szCs w:val="21"/>
                <w:highlight w:val="none"/>
              </w:rPr>
              <w:t>其它起草人均参与标准内容的讨论和相关内容的研究。</w:t>
            </w:r>
            <w:r>
              <w:rPr>
                <w:rFonts w:hint="eastAsia" w:asciiTheme="minorEastAsia" w:hAnsiTheme="minorEastAsia" w:eastAsiaTheme="minorEastAsia"/>
                <w:szCs w:val="21"/>
                <w:highlight w:val="none"/>
                <w:lang w:val="en-US" w:eastAsia="zh-CN"/>
              </w:rPr>
              <w:t>目前参与本项目起草工作组的单位30余家，代表了主要钢铁企业、科研机构、大学院校以及钢铁应用的下游行业。</w:t>
            </w:r>
          </w:p>
        </w:tc>
      </w:tr>
      <w:tr w14:paraId="109D9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Before w:val="1"/>
          <w:wBefore w:w="94" w:type="dxa"/>
          <w:trHeight w:val="2270" w:hRule="atLeast"/>
          <w:jc w:val="center"/>
        </w:trPr>
        <w:tc>
          <w:tcPr>
            <w:tcW w:w="1314" w:type="dxa"/>
            <w:gridSpan w:val="2"/>
            <w:tcBorders>
              <w:top w:val="single" w:color="auto" w:sz="4" w:space="0"/>
              <w:bottom w:val="single" w:color="auto" w:sz="4" w:space="0"/>
            </w:tcBorders>
            <w:vAlign w:val="center"/>
          </w:tcPr>
          <w:p w14:paraId="18638771">
            <w:pPr>
              <w:ind w:left="141" w:leftChars="67" w:right="176" w:rightChars="84"/>
              <w:rPr>
                <w:rFonts w:ascii="宋体" w:hAnsi="宋体"/>
                <w:color w:val="000000"/>
                <w:szCs w:val="21"/>
                <w:highlight w:val="none"/>
              </w:rPr>
            </w:pPr>
            <w:r>
              <w:rPr>
                <w:rFonts w:ascii="宋体" w:hAnsi="宋体"/>
                <w:color w:val="000000"/>
                <w:szCs w:val="21"/>
                <w:highlight w:val="none"/>
              </w:rPr>
              <w:t>3.</w:t>
            </w:r>
            <w:r>
              <w:rPr>
                <w:rFonts w:hint="eastAsia" w:ascii="宋体" w:hAnsi="宋体"/>
                <w:color w:val="000000"/>
                <w:szCs w:val="21"/>
                <w:highlight w:val="none"/>
              </w:rPr>
              <w:t>2起草阶段</w:t>
            </w:r>
          </w:p>
        </w:tc>
        <w:tc>
          <w:tcPr>
            <w:tcW w:w="9052" w:type="dxa"/>
            <w:gridSpan w:val="4"/>
            <w:tcBorders>
              <w:bottom w:val="single" w:color="auto" w:sz="4" w:space="0"/>
            </w:tcBorders>
            <w:vAlign w:val="center"/>
          </w:tcPr>
          <w:p w14:paraId="4BAF0ADA">
            <w:pPr>
              <w:ind w:firstLine="420" w:firstLineChars="200"/>
              <w:rPr>
                <w:rFonts w:hint="default" w:asciiTheme="minorEastAsia" w:hAnsiTheme="minorEastAsia" w:eastAsiaTheme="minorEastAsia"/>
                <w:bCs/>
                <w:szCs w:val="21"/>
                <w:highlight w:val="none"/>
                <w:lang w:val="en-US" w:eastAsia="zh-CN"/>
              </w:rPr>
            </w:pPr>
            <w:r>
              <w:rPr>
                <w:rFonts w:hint="eastAsia" w:asciiTheme="minorEastAsia" w:hAnsiTheme="minorEastAsia" w:eastAsiaTheme="minorEastAsia"/>
                <w:bCs/>
                <w:szCs w:val="21"/>
                <w:highlight w:val="none"/>
              </w:rPr>
              <w:t>202</w:t>
            </w:r>
            <w:r>
              <w:rPr>
                <w:rFonts w:hint="eastAsia" w:asciiTheme="minorEastAsia" w:hAnsiTheme="minorEastAsia" w:eastAsiaTheme="minorEastAsia"/>
                <w:bCs/>
                <w:szCs w:val="21"/>
                <w:highlight w:val="none"/>
                <w:lang w:val="en-US" w:eastAsia="zh-CN"/>
              </w:rPr>
              <w:t>5</w:t>
            </w:r>
            <w:r>
              <w:rPr>
                <w:rFonts w:hint="eastAsia" w:asciiTheme="minorEastAsia" w:hAnsiTheme="minorEastAsia" w:eastAsiaTheme="minorEastAsia"/>
                <w:bCs/>
                <w:szCs w:val="21"/>
                <w:highlight w:val="none"/>
              </w:rPr>
              <w:t>年</w:t>
            </w:r>
            <w:r>
              <w:rPr>
                <w:rFonts w:hint="eastAsia" w:asciiTheme="minorEastAsia" w:hAnsiTheme="minorEastAsia" w:eastAsiaTheme="minorEastAsia"/>
                <w:bCs/>
                <w:szCs w:val="21"/>
                <w:highlight w:val="none"/>
                <w:lang w:val="en-US" w:eastAsia="zh-CN"/>
              </w:rPr>
              <w:t>10</w:t>
            </w:r>
            <w:r>
              <w:rPr>
                <w:rFonts w:hint="eastAsia" w:asciiTheme="minorEastAsia" w:hAnsiTheme="minorEastAsia" w:eastAsiaTheme="minorEastAsia"/>
                <w:bCs/>
                <w:szCs w:val="21"/>
                <w:highlight w:val="none"/>
              </w:rPr>
              <w:t>月计划下达后，冶金工业规划研究院组织各起草单位成立了标准起草编制工作组。工作组对</w:t>
            </w:r>
            <w:r>
              <w:rPr>
                <w:rFonts w:hint="eastAsia" w:asciiTheme="minorEastAsia" w:hAnsiTheme="minorEastAsia" w:eastAsiaTheme="minorEastAsia"/>
                <w:bCs/>
                <w:szCs w:val="21"/>
                <w:highlight w:val="none"/>
                <w:lang w:eastAsia="zh-CN"/>
              </w:rPr>
              <w:t>可持续钢管理体系的</w:t>
            </w:r>
            <w:r>
              <w:rPr>
                <w:rFonts w:hint="eastAsia" w:asciiTheme="minorEastAsia" w:hAnsiTheme="minorEastAsia" w:eastAsiaTheme="minorEastAsia"/>
                <w:bCs/>
                <w:szCs w:val="21"/>
                <w:highlight w:val="none"/>
              </w:rPr>
              <w:t>现状与发展情况进行全面调研，同时广泛搜集相关标准和国内外技术资料，进行了大量的研究分析、资料查证工作，结合</w:t>
            </w:r>
            <w:r>
              <w:rPr>
                <w:rFonts w:hint="eastAsia" w:asciiTheme="minorEastAsia" w:hAnsiTheme="minorEastAsia" w:eastAsiaTheme="minorEastAsia"/>
                <w:bCs/>
                <w:szCs w:val="21"/>
                <w:highlight w:val="none"/>
                <w:lang w:eastAsia="zh-CN"/>
              </w:rPr>
              <w:t>我国钢铁行业的</w:t>
            </w:r>
            <w:r>
              <w:rPr>
                <w:rFonts w:hint="eastAsia" w:asciiTheme="minorEastAsia" w:hAnsiTheme="minorEastAsia" w:eastAsiaTheme="minorEastAsia"/>
                <w:bCs/>
                <w:szCs w:val="21"/>
                <w:highlight w:val="none"/>
              </w:rPr>
              <w:t>实际经验，进行全面总结和归纳。</w:t>
            </w:r>
            <w:r>
              <w:rPr>
                <w:rFonts w:hint="eastAsia" w:asciiTheme="minorEastAsia" w:hAnsiTheme="minorEastAsia" w:eastAsiaTheme="minorEastAsia"/>
                <w:bCs/>
                <w:szCs w:val="21"/>
                <w:highlight w:val="none"/>
                <w:lang w:val="en-US" w:eastAsia="zh-CN"/>
              </w:rPr>
              <w:t>进一步完善标准草案，准备召开标准研讨会。</w:t>
            </w:r>
          </w:p>
        </w:tc>
      </w:tr>
      <w:tr w14:paraId="2E0051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Before w:val="1"/>
          <w:wBefore w:w="94" w:type="dxa"/>
          <w:trHeight w:val="1151" w:hRule="atLeast"/>
          <w:jc w:val="center"/>
        </w:trPr>
        <w:tc>
          <w:tcPr>
            <w:tcW w:w="1314" w:type="dxa"/>
            <w:gridSpan w:val="2"/>
            <w:tcBorders>
              <w:top w:val="single" w:color="auto" w:sz="4" w:space="0"/>
              <w:bottom w:val="single" w:color="auto" w:sz="6" w:space="0"/>
            </w:tcBorders>
            <w:vAlign w:val="center"/>
          </w:tcPr>
          <w:p w14:paraId="07A286BB">
            <w:pPr>
              <w:ind w:left="141" w:leftChars="67" w:right="176" w:rightChars="84"/>
              <w:rPr>
                <w:rFonts w:ascii="宋体" w:hAnsi="宋体"/>
                <w:color w:val="000000"/>
                <w:szCs w:val="21"/>
                <w:highlight w:val="none"/>
              </w:rPr>
            </w:pPr>
            <w:r>
              <w:rPr>
                <w:rFonts w:ascii="宋体" w:hAnsi="宋体"/>
                <w:color w:val="000000"/>
                <w:szCs w:val="21"/>
                <w:highlight w:val="none"/>
              </w:rPr>
              <w:t>3.</w:t>
            </w:r>
            <w:r>
              <w:rPr>
                <w:rFonts w:hint="eastAsia" w:ascii="宋体" w:hAnsi="宋体"/>
                <w:color w:val="000000"/>
                <w:szCs w:val="21"/>
                <w:highlight w:val="none"/>
              </w:rPr>
              <w:t>3征求意见阶段</w:t>
            </w:r>
          </w:p>
        </w:tc>
        <w:tc>
          <w:tcPr>
            <w:tcW w:w="9052" w:type="dxa"/>
            <w:gridSpan w:val="4"/>
            <w:tcBorders>
              <w:top w:val="single" w:color="auto" w:sz="4" w:space="0"/>
              <w:bottom w:val="single" w:color="auto" w:sz="6" w:space="0"/>
            </w:tcBorders>
            <w:vAlign w:val="center"/>
          </w:tcPr>
          <w:p w14:paraId="4C4AEA2F">
            <w:pPr>
              <w:ind w:firstLine="420" w:firstLineChars="200"/>
              <w:rPr>
                <w:rFonts w:hint="default" w:asciiTheme="minorEastAsia" w:hAnsiTheme="minorEastAsia" w:eastAsiaTheme="minorEastAsia"/>
                <w:bCs/>
                <w:szCs w:val="21"/>
                <w:highlight w:val="none"/>
                <w:lang w:val="en-US" w:eastAsia="zh-CN"/>
              </w:rPr>
            </w:pPr>
            <w:r>
              <w:rPr>
                <w:rFonts w:hint="eastAsia" w:asciiTheme="minorEastAsia" w:hAnsiTheme="minorEastAsia" w:eastAsiaTheme="minorEastAsia"/>
                <w:bCs/>
                <w:szCs w:val="21"/>
                <w:highlight w:val="none"/>
                <w:lang w:val="en-US" w:eastAsia="zh-CN"/>
              </w:rPr>
              <w:t>2025年12月19日，组织召开研讨会对标准本文内容进行完善，于2026年2月11日开始征求意见。</w:t>
            </w:r>
          </w:p>
        </w:tc>
      </w:tr>
      <w:tr w14:paraId="13715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Before w:val="1"/>
          <w:wBefore w:w="94" w:type="dxa"/>
          <w:trHeight w:val="1673" w:hRule="atLeast"/>
          <w:jc w:val="center"/>
        </w:trPr>
        <w:tc>
          <w:tcPr>
            <w:tcW w:w="1314" w:type="dxa"/>
            <w:gridSpan w:val="2"/>
            <w:tcBorders>
              <w:top w:val="single" w:color="auto" w:sz="6" w:space="0"/>
              <w:bottom w:val="single" w:color="auto" w:sz="6" w:space="0"/>
            </w:tcBorders>
            <w:vAlign w:val="center"/>
          </w:tcPr>
          <w:p w14:paraId="7F93D2D3">
            <w:pPr>
              <w:ind w:left="141" w:leftChars="67" w:right="176" w:rightChars="84"/>
              <w:rPr>
                <w:rFonts w:ascii="宋体" w:hAnsi="宋体"/>
                <w:color w:val="000000"/>
                <w:szCs w:val="21"/>
                <w:highlight w:val="none"/>
              </w:rPr>
            </w:pPr>
            <w:r>
              <w:rPr>
                <w:rFonts w:ascii="宋体" w:hAnsi="宋体"/>
                <w:color w:val="000000"/>
                <w:szCs w:val="21"/>
                <w:highlight w:val="none"/>
              </w:rPr>
              <w:t>3.</w:t>
            </w:r>
            <w:r>
              <w:rPr>
                <w:rFonts w:hint="eastAsia" w:ascii="宋体" w:hAnsi="宋体"/>
                <w:color w:val="000000"/>
                <w:szCs w:val="21"/>
                <w:highlight w:val="none"/>
              </w:rPr>
              <w:t>4标准审定阶段</w:t>
            </w:r>
          </w:p>
        </w:tc>
        <w:tc>
          <w:tcPr>
            <w:tcW w:w="9052" w:type="dxa"/>
            <w:gridSpan w:val="4"/>
            <w:tcBorders>
              <w:top w:val="single" w:color="auto" w:sz="6" w:space="0"/>
              <w:bottom w:val="single" w:color="auto" w:sz="6" w:space="0"/>
            </w:tcBorders>
            <w:vAlign w:val="center"/>
          </w:tcPr>
          <w:p w14:paraId="3B8AE9A2">
            <w:pPr>
              <w:ind w:firstLine="420" w:firstLineChars="200"/>
              <w:jc w:val="left"/>
              <w:rPr>
                <w:rFonts w:hint="default" w:asciiTheme="minorEastAsia" w:hAnsiTheme="minorEastAsia" w:eastAsiaTheme="minorEastAsia"/>
                <w:color w:val="000000"/>
                <w:szCs w:val="21"/>
                <w:highlight w:val="none"/>
                <w:lang w:val="en-US" w:eastAsia="zh-CN"/>
              </w:rPr>
            </w:pPr>
            <w:r>
              <w:rPr>
                <w:rFonts w:hint="eastAsia" w:asciiTheme="minorEastAsia" w:hAnsiTheme="minorEastAsia" w:eastAsiaTheme="minorEastAsia"/>
                <w:color w:val="000000"/>
                <w:szCs w:val="21"/>
                <w:highlight w:val="none"/>
                <w:lang w:val="en-US" w:eastAsia="zh-CN"/>
              </w:rPr>
              <w:t>尚未到该阶段</w:t>
            </w:r>
          </w:p>
        </w:tc>
      </w:tr>
      <w:tr w14:paraId="4F6A9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Before w:val="1"/>
          <w:wBefore w:w="94" w:type="dxa"/>
          <w:trHeight w:val="518" w:hRule="atLeast"/>
          <w:jc w:val="center"/>
        </w:trPr>
        <w:tc>
          <w:tcPr>
            <w:tcW w:w="10366" w:type="dxa"/>
            <w:gridSpan w:val="6"/>
            <w:tcBorders>
              <w:top w:val="single" w:color="auto" w:sz="6" w:space="0"/>
              <w:bottom w:val="single" w:color="auto" w:sz="6" w:space="0"/>
            </w:tcBorders>
            <w:vAlign w:val="center"/>
          </w:tcPr>
          <w:p w14:paraId="1844A32B">
            <w:pPr>
              <w:rPr>
                <w:rFonts w:hint="eastAsia" w:asciiTheme="minorEastAsia" w:hAnsiTheme="minorEastAsia" w:eastAsiaTheme="minorEastAsia"/>
                <w:szCs w:val="21"/>
                <w:highlight w:val="yellow"/>
              </w:rPr>
            </w:pPr>
            <w:r>
              <w:rPr>
                <w:rFonts w:hint="eastAsia" w:ascii="宋体" w:hAnsi="宋体"/>
                <w:b/>
                <w:color w:val="000000"/>
                <w:szCs w:val="21"/>
                <w:highlight w:val="none"/>
              </w:rPr>
              <w:t>4</w:t>
            </w:r>
            <w:r>
              <w:rPr>
                <w:rFonts w:ascii="宋体" w:hAnsi="宋体"/>
                <w:b/>
                <w:color w:val="000000"/>
                <w:szCs w:val="21"/>
                <w:highlight w:val="none"/>
              </w:rPr>
              <w:t xml:space="preserve">  </w:t>
            </w:r>
            <w:r>
              <w:rPr>
                <w:rFonts w:hint="eastAsia" w:ascii="宋体" w:hAnsi="宋体"/>
                <w:b/>
                <w:color w:val="000000"/>
                <w:szCs w:val="21"/>
                <w:highlight w:val="none"/>
              </w:rPr>
              <w:t>主要技术内容确定</w:t>
            </w:r>
          </w:p>
        </w:tc>
      </w:tr>
      <w:tr w14:paraId="163482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Before w:val="1"/>
          <w:wBefore w:w="94" w:type="dxa"/>
          <w:trHeight w:val="1673" w:hRule="atLeast"/>
          <w:jc w:val="center"/>
        </w:trPr>
        <w:tc>
          <w:tcPr>
            <w:tcW w:w="10366" w:type="dxa"/>
            <w:gridSpan w:val="6"/>
            <w:tcBorders>
              <w:top w:val="single" w:color="auto" w:sz="6" w:space="0"/>
              <w:bottom w:val="single" w:color="auto" w:sz="6" w:space="0"/>
            </w:tcBorders>
            <w:vAlign w:val="center"/>
          </w:tcPr>
          <w:p w14:paraId="4C8A51A4">
            <w:pPr>
              <w:ind w:firstLine="420" w:firstLineChars="200"/>
              <w:rPr>
                <w:rFonts w:hint="eastAsia"/>
                <w:highlight w:val="none"/>
                <w:lang w:eastAsia="zh-CN"/>
              </w:rPr>
            </w:pPr>
            <w:r>
              <w:rPr>
                <w:rFonts w:hint="eastAsia"/>
                <w:highlight w:val="none"/>
                <w:lang w:eastAsia="zh-CN"/>
              </w:rPr>
              <w:t>本文件按照GB/T 1.1-2020《标准化工作导则 第1部分：标准化文件的结构和起草规则》的规定起草。本文件规定了组织建立、实施、保持和改进可持续钢管理的要求。</w:t>
            </w:r>
          </w:p>
          <w:p w14:paraId="5176A4F1">
            <w:pPr>
              <w:ind w:firstLine="420" w:firstLineChars="200"/>
              <w:rPr>
                <w:rFonts w:hint="eastAsia"/>
                <w:highlight w:val="none"/>
                <w:lang w:eastAsia="zh-CN"/>
              </w:rPr>
            </w:pPr>
            <w:r>
              <w:rPr>
                <w:rFonts w:hint="eastAsia"/>
                <w:highlight w:val="none"/>
                <w:lang w:eastAsia="zh-CN"/>
              </w:rPr>
              <w:t>本文件作为管理体系标准，参考GB/T 19001《质量管理体系 要求》、GB/T 24001《环境管理体系 要求及使用指南》、GB/T 45001《职业健康安全管理体系 要求及使用指南》、GB/T 23331《能源管理体系 要求及使用指南》等标准结构，采用了管理体系体系标准的高层结构HLS，即相同的标准框架和标准标题、相同的通用术语和核心定义、相同的条款核心文本。通过高层结构HLS提高相关方之间的沟通效率、帮助组织实现其预期结果、提高管理体系运行的兼容性、鼓励管理体系标准的更新、鼓励全球贸易自由。</w:t>
            </w:r>
          </w:p>
          <w:p w14:paraId="4A7AD60E">
            <w:pPr>
              <w:ind w:firstLine="420" w:firstLineChars="200"/>
              <w:rPr>
                <w:rFonts w:hint="eastAsia"/>
                <w:highlight w:val="none"/>
                <w:lang w:eastAsia="zh-CN"/>
              </w:rPr>
            </w:pPr>
            <w:r>
              <w:rPr>
                <w:rFonts w:hint="eastAsia"/>
                <w:highlight w:val="none"/>
                <w:lang w:eastAsia="zh-CN"/>
              </w:rPr>
              <w:t>按照高层结构HLS，各个章节为：</w:t>
            </w:r>
          </w:p>
          <w:p w14:paraId="062E9A91">
            <w:pPr>
              <w:ind w:firstLine="420" w:firstLineChars="200"/>
              <w:rPr>
                <w:rFonts w:hint="eastAsia"/>
                <w:highlight w:val="none"/>
                <w:lang w:eastAsia="zh-CN"/>
              </w:rPr>
            </w:pPr>
            <w:r>
              <w:rPr>
                <w:rFonts w:hint="eastAsia"/>
                <w:highlight w:val="none"/>
                <w:lang w:eastAsia="zh-CN"/>
              </w:rPr>
              <w:t>第0章 引言</w:t>
            </w:r>
          </w:p>
          <w:p w14:paraId="6A344D9C">
            <w:pPr>
              <w:ind w:firstLine="420" w:firstLineChars="200"/>
              <w:rPr>
                <w:rFonts w:hint="eastAsia"/>
                <w:highlight w:val="none"/>
                <w:lang w:eastAsia="zh-CN"/>
              </w:rPr>
            </w:pPr>
            <w:r>
              <w:rPr>
                <w:rFonts w:hint="eastAsia"/>
                <w:highlight w:val="none"/>
                <w:lang w:eastAsia="zh-CN"/>
              </w:rPr>
              <w:t>第1章 范围</w:t>
            </w:r>
          </w:p>
          <w:p w14:paraId="2D4C6B0C">
            <w:pPr>
              <w:ind w:firstLine="420" w:firstLineChars="200"/>
              <w:rPr>
                <w:rFonts w:hint="eastAsia"/>
                <w:highlight w:val="none"/>
                <w:lang w:eastAsia="zh-CN"/>
              </w:rPr>
            </w:pPr>
            <w:r>
              <w:rPr>
                <w:rFonts w:hint="eastAsia"/>
                <w:highlight w:val="none"/>
                <w:lang w:eastAsia="zh-CN"/>
              </w:rPr>
              <w:t>第2章 引用文件</w:t>
            </w:r>
          </w:p>
          <w:p w14:paraId="37D03248">
            <w:pPr>
              <w:ind w:firstLine="420" w:firstLineChars="200"/>
              <w:rPr>
                <w:rFonts w:hint="eastAsia"/>
                <w:highlight w:val="none"/>
                <w:lang w:eastAsia="zh-CN"/>
              </w:rPr>
            </w:pPr>
            <w:r>
              <w:rPr>
                <w:rFonts w:hint="eastAsia"/>
                <w:highlight w:val="none"/>
                <w:lang w:eastAsia="zh-CN"/>
              </w:rPr>
              <w:t>第3章 术语和定义</w:t>
            </w:r>
          </w:p>
          <w:p w14:paraId="3F31D168">
            <w:pPr>
              <w:ind w:firstLine="420" w:firstLineChars="200"/>
              <w:rPr>
                <w:rFonts w:hint="eastAsia"/>
                <w:highlight w:val="none"/>
                <w:lang w:eastAsia="zh-CN"/>
              </w:rPr>
            </w:pPr>
            <w:r>
              <w:rPr>
                <w:rFonts w:hint="eastAsia"/>
                <w:highlight w:val="none"/>
                <w:lang w:eastAsia="zh-CN"/>
              </w:rPr>
              <w:t>第4章 组织环境</w:t>
            </w:r>
          </w:p>
          <w:p w14:paraId="53ED7AF8">
            <w:pPr>
              <w:ind w:firstLine="420" w:firstLineChars="200"/>
              <w:rPr>
                <w:rFonts w:hint="eastAsia"/>
                <w:highlight w:val="none"/>
                <w:lang w:eastAsia="zh-CN"/>
              </w:rPr>
            </w:pPr>
            <w:r>
              <w:rPr>
                <w:rFonts w:hint="eastAsia"/>
                <w:highlight w:val="none"/>
                <w:lang w:eastAsia="zh-CN"/>
              </w:rPr>
              <w:t>第5章 领导作用</w:t>
            </w:r>
          </w:p>
          <w:p w14:paraId="38B2356A">
            <w:pPr>
              <w:ind w:firstLine="420" w:firstLineChars="200"/>
              <w:rPr>
                <w:rFonts w:hint="eastAsia"/>
                <w:highlight w:val="none"/>
                <w:lang w:eastAsia="zh-CN"/>
              </w:rPr>
            </w:pPr>
            <w:r>
              <w:rPr>
                <w:rFonts w:hint="eastAsia"/>
                <w:highlight w:val="none"/>
                <w:lang w:eastAsia="zh-CN"/>
              </w:rPr>
              <w:t>第6章 策划</w:t>
            </w:r>
          </w:p>
          <w:p w14:paraId="6DE05B53">
            <w:pPr>
              <w:ind w:firstLine="420" w:firstLineChars="200"/>
              <w:rPr>
                <w:rFonts w:hint="eastAsia"/>
                <w:highlight w:val="none"/>
                <w:lang w:eastAsia="zh-CN"/>
              </w:rPr>
            </w:pPr>
            <w:r>
              <w:rPr>
                <w:rFonts w:hint="eastAsia"/>
                <w:highlight w:val="none"/>
                <w:lang w:eastAsia="zh-CN"/>
              </w:rPr>
              <w:t>第7章 支持</w:t>
            </w:r>
          </w:p>
          <w:p w14:paraId="25B7A6FA">
            <w:pPr>
              <w:ind w:firstLine="420" w:firstLineChars="200"/>
              <w:rPr>
                <w:rFonts w:hint="eastAsia"/>
                <w:highlight w:val="none"/>
                <w:lang w:eastAsia="zh-CN"/>
              </w:rPr>
            </w:pPr>
            <w:r>
              <w:rPr>
                <w:rFonts w:hint="eastAsia"/>
                <w:highlight w:val="none"/>
                <w:lang w:eastAsia="zh-CN"/>
              </w:rPr>
              <w:t>第8章 运行</w:t>
            </w:r>
          </w:p>
          <w:p w14:paraId="637BE244">
            <w:pPr>
              <w:ind w:firstLine="420" w:firstLineChars="200"/>
              <w:rPr>
                <w:rFonts w:hint="eastAsia"/>
                <w:highlight w:val="none"/>
                <w:lang w:eastAsia="zh-CN"/>
              </w:rPr>
            </w:pPr>
            <w:r>
              <w:rPr>
                <w:rFonts w:hint="eastAsia"/>
                <w:highlight w:val="none"/>
                <w:lang w:eastAsia="zh-CN"/>
              </w:rPr>
              <w:t>第9章 绩效评价</w:t>
            </w:r>
          </w:p>
          <w:p w14:paraId="5DC074BE">
            <w:pPr>
              <w:ind w:firstLine="420" w:firstLineChars="200"/>
              <w:rPr>
                <w:rFonts w:hint="eastAsia"/>
                <w:highlight w:val="none"/>
                <w:lang w:eastAsia="zh-CN"/>
              </w:rPr>
            </w:pPr>
            <w:r>
              <w:rPr>
                <w:rFonts w:hint="eastAsia"/>
                <w:highlight w:val="none"/>
                <w:lang w:eastAsia="zh-CN"/>
              </w:rPr>
              <w:t>第10章 改进</w:t>
            </w:r>
          </w:p>
          <w:p w14:paraId="2F487307">
            <w:pPr>
              <w:ind w:firstLine="420" w:firstLineChars="200"/>
              <w:rPr>
                <w:rFonts w:hint="eastAsia"/>
                <w:highlight w:val="none"/>
                <w:lang w:eastAsia="zh-CN"/>
              </w:rPr>
            </w:pPr>
            <w:r>
              <w:rPr>
                <w:rFonts w:hint="eastAsia"/>
                <w:highlight w:val="none"/>
                <w:lang w:eastAsia="zh-CN"/>
              </w:rPr>
              <w:t>各章节具体内容的撰写上，参考借鉴了GB/T 40759-2021《城市和社区可持续发展 可持续发展管理体系 要求及使用指南》（ISO 37101:2013，IDT）的内容，结合钢铁行业特点和对可持续发展管理体系的实际需要，提出了具体要求。</w:t>
            </w:r>
          </w:p>
          <w:p w14:paraId="3340328C">
            <w:pPr>
              <w:ind w:firstLine="420" w:firstLineChars="200"/>
              <w:rPr>
                <w:rFonts w:hint="eastAsia"/>
                <w:highlight w:val="none"/>
                <w:lang w:eastAsia="zh-CN"/>
              </w:rPr>
            </w:pPr>
            <w:r>
              <w:rPr>
                <w:rFonts w:hint="eastAsia"/>
                <w:highlight w:val="none"/>
                <w:lang w:eastAsia="zh-CN"/>
              </w:rPr>
              <w:t>特别是在第8章“运行”部分，对钢铁行业组织实施可持续钢管理体系的特殊要求进行了具体规定，是本标准重要的评价指标。</w:t>
            </w:r>
          </w:p>
          <w:p w14:paraId="727D9E0C">
            <w:pPr>
              <w:ind w:firstLine="420" w:firstLineChars="200"/>
              <w:rPr>
                <w:rFonts w:hint="default" w:eastAsia="宋体"/>
                <w:highlight w:val="none"/>
                <w:lang w:val="en-US" w:eastAsia="zh-CN"/>
              </w:rPr>
            </w:pPr>
            <w:r>
              <w:rPr>
                <w:rFonts w:hint="eastAsia"/>
                <w:highlight w:val="none"/>
                <w:lang w:eastAsia="zh-CN"/>
              </w:rPr>
              <w:t>（</w:t>
            </w:r>
            <w:r>
              <w:rPr>
                <w:rFonts w:hint="eastAsia"/>
                <w:highlight w:val="none"/>
                <w:lang w:val="en-US" w:eastAsia="zh-CN"/>
              </w:rPr>
              <w:t>一</w:t>
            </w:r>
            <w:r>
              <w:rPr>
                <w:rFonts w:hint="eastAsia"/>
                <w:highlight w:val="none"/>
                <w:lang w:eastAsia="zh-CN"/>
              </w:rPr>
              <w:t>）</w:t>
            </w:r>
            <w:r>
              <w:rPr>
                <w:rFonts w:hint="eastAsia"/>
                <w:highlight w:val="none"/>
                <w:lang w:val="en-US" w:eastAsia="zh-CN"/>
              </w:rPr>
              <w:t>范围</w:t>
            </w:r>
          </w:p>
          <w:p w14:paraId="2D89180E">
            <w:pPr>
              <w:ind w:firstLine="420" w:firstLineChars="200"/>
              <w:rPr>
                <w:rFonts w:hint="eastAsia"/>
                <w:highlight w:val="none"/>
                <w:lang w:val="en-US" w:eastAsia="zh-CN"/>
              </w:rPr>
            </w:pPr>
            <w:r>
              <w:rPr>
                <w:rFonts w:hint="eastAsia"/>
                <w:highlight w:val="none"/>
                <w:lang w:val="en-US" w:eastAsia="zh-CN"/>
              </w:rPr>
              <w:t>本文件规定了组织建立、实施、保持和改进可持续钢管理的要求。</w:t>
            </w:r>
          </w:p>
          <w:p w14:paraId="5F8C668D">
            <w:pPr>
              <w:ind w:firstLine="420" w:firstLineChars="200"/>
              <w:rPr>
                <w:rFonts w:hint="default" w:eastAsia="宋体"/>
                <w:highlight w:val="none"/>
                <w:lang w:val="en-US" w:eastAsia="zh-CN"/>
              </w:rPr>
            </w:pPr>
            <w:r>
              <w:rPr>
                <w:rFonts w:hint="eastAsia"/>
                <w:highlight w:val="none"/>
                <w:lang w:val="en-US" w:eastAsia="zh-CN"/>
              </w:rPr>
              <w:t>本文件适用于钢铁行业有意向建立、实施、保持和改进可持续钢管理的所有类型和规模的组织。</w:t>
            </w:r>
          </w:p>
          <w:p w14:paraId="45F056E3">
            <w:pPr>
              <w:ind w:firstLine="420" w:firstLineChars="200"/>
              <w:rPr>
                <w:rFonts w:hint="default" w:eastAsia="宋体"/>
                <w:highlight w:val="none"/>
                <w:lang w:val="en-US" w:eastAsia="zh-CN"/>
              </w:rPr>
            </w:pPr>
            <w:r>
              <w:rPr>
                <w:rFonts w:hint="eastAsia"/>
                <w:highlight w:val="none"/>
                <w:lang w:eastAsia="zh-CN"/>
              </w:rPr>
              <w:t>（</w:t>
            </w:r>
            <w:r>
              <w:rPr>
                <w:rFonts w:hint="eastAsia"/>
                <w:highlight w:val="none"/>
                <w:lang w:val="en-US" w:eastAsia="zh-CN"/>
              </w:rPr>
              <w:t>二</w:t>
            </w:r>
            <w:r>
              <w:rPr>
                <w:rFonts w:hint="eastAsia"/>
                <w:highlight w:val="none"/>
                <w:lang w:eastAsia="zh-CN"/>
              </w:rPr>
              <w:t>）</w:t>
            </w:r>
            <w:r>
              <w:rPr>
                <w:rFonts w:hint="eastAsia"/>
                <w:highlight w:val="none"/>
                <w:lang w:val="en-US" w:eastAsia="zh-CN"/>
              </w:rPr>
              <w:t>规范性引用文件</w:t>
            </w:r>
          </w:p>
          <w:p w14:paraId="59A160E1">
            <w:pPr>
              <w:ind w:firstLine="420" w:firstLineChars="200"/>
              <w:rPr>
                <w:rFonts w:hint="eastAsia"/>
                <w:highlight w:val="none"/>
              </w:rPr>
            </w:pPr>
            <w:r>
              <w:rPr>
                <w:rFonts w:hint="eastAsia"/>
                <w:highlight w:val="none"/>
              </w:rPr>
              <w:t>本部分将文件中所有引用标准按照标准编号顺序列出。</w:t>
            </w:r>
          </w:p>
          <w:p w14:paraId="0E15BEFA">
            <w:pPr>
              <w:ind w:firstLine="420" w:firstLineChars="200"/>
              <w:rPr>
                <w:rFonts w:hint="default" w:eastAsia="宋体"/>
                <w:highlight w:val="none"/>
                <w:lang w:val="en-US" w:eastAsia="zh-CN"/>
              </w:rPr>
            </w:pPr>
            <w:r>
              <w:rPr>
                <w:rFonts w:hint="eastAsia"/>
                <w:highlight w:val="none"/>
                <w:lang w:eastAsia="zh-CN"/>
              </w:rPr>
              <w:t>（</w:t>
            </w:r>
            <w:r>
              <w:rPr>
                <w:rFonts w:hint="eastAsia"/>
                <w:highlight w:val="none"/>
                <w:lang w:val="en-US" w:eastAsia="zh-CN"/>
              </w:rPr>
              <w:t>三</w:t>
            </w:r>
            <w:r>
              <w:rPr>
                <w:rFonts w:hint="eastAsia"/>
                <w:highlight w:val="none"/>
                <w:lang w:eastAsia="zh-CN"/>
              </w:rPr>
              <w:t>）</w:t>
            </w:r>
            <w:r>
              <w:rPr>
                <w:rFonts w:hint="eastAsia"/>
                <w:highlight w:val="none"/>
                <w:lang w:val="en-US" w:eastAsia="zh-CN"/>
              </w:rPr>
              <w:t>术语和定义</w:t>
            </w:r>
          </w:p>
          <w:p w14:paraId="41DA4691">
            <w:pPr>
              <w:ind w:firstLine="420" w:firstLineChars="200"/>
              <w:rPr>
                <w:rFonts w:hint="eastAsia"/>
                <w:highlight w:val="none"/>
              </w:rPr>
            </w:pPr>
            <w:r>
              <w:rPr>
                <w:rFonts w:hint="eastAsia"/>
                <w:highlight w:val="none"/>
              </w:rPr>
              <w:t>为帮助理解本文件中所出现的专业术语，指导使用者更加准确运用本文件，</w:t>
            </w:r>
            <w:r>
              <w:rPr>
                <w:rFonts w:hint="eastAsia"/>
                <w:highlight w:val="none"/>
                <w:lang w:eastAsia="zh-CN"/>
              </w:rPr>
              <w:t>给出了“可持续发展”“可持续钢”的定义</w:t>
            </w:r>
            <w:r>
              <w:rPr>
                <w:rFonts w:hint="eastAsia"/>
                <w:highlight w:val="none"/>
              </w:rPr>
              <w:t>。</w:t>
            </w:r>
          </w:p>
          <w:p w14:paraId="163516B3">
            <w:pPr>
              <w:ind w:firstLine="420" w:firstLineChars="200"/>
              <w:rPr>
                <w:rFonts w:hint="default" w:eastAsia="宋体"/>
                <w:highlight w:val="none"/>
                <w:lang w:val="en-US" w:eastAsia="zh-CN"/>
              </w:rPr>
            </w:pPr>
            <w:r>
              <w:rPr>
                <w:rFonts w:hint="eastAsia"/>
                <w:highlight w:val="none"/>
                <w:lang w:eastAsia="zh-CN"/>
              </w:rPr>
              <w:t>（</w:t>
            </w:r>
            <w:r>
              <w:rPr>
                <w:rFonts w:hint="eastAsia"/>
                <w:highlight w:val="none"/>
                <w:lang w:val="en-US" w:eastAsia="zh-CN"/>
              </w:rPr>
              <w:t>四</w:t>
            </w:r>
            <w:r>
              <w:rPr>
                <w:rFonts w:hint="eastAsia"/>
                <w:highlight w:val="none"/>
                <w:lang w:eastAsia="zh-CN"/>
              </w:rPr>
              <w:t>）组织环境</w:t>
            </w:r>
          </w:p>
          <w:p w14:paraId="0373017B">
            <w:pPr>
              <w:ind w:firstLine="420" w:firstLineChars="200"/>
              <w:rPr>
                <w:rFonts w:hint="eastAsia"/>
                <w:highlight w:val="none"/>
                <w:lang w:val="en-US" w:eastAsia="zh-CN"/>
              </w:rPr>
            </w:pPr>
            <w:r>
              <w:rPr>
                <w:rFonts w:hint="eastAsia"/>
                <w:highlight w:val="none"/>
                <w:lang w:val="en-US" w:eastAsia="zh-CN"/>
              </w:rPr>
              <w:t>本部分参考GB/T 40759-2021《城市和社区可持续发展 可持续发展管理体系 要求及使用指南》，给出了理解组织及其环境、理解相关方的需求和期望、确定可持续钢管理体系的范围、可持续钢管理体系等组织环境要求。。</w:t>
            </w:r>
          </w:p>
          <w:p w14:paraId="1E9B6E17">
            <w:pPr>
              <w:ind w:firstLine="420" w:firstLineChars="200"/>
              <w:rPr>
                <w:rFonts w:hint="default"/>
                <w:highlight w:val="none"/>
                <w:lang w:val="en-US" w:eastAsia="zh-CN"/>
              </w:rPr>
            </w:pPr>
            <w:r>
              <w:rPr>
                <w:rFonts w:hint="eastAsia"/>
                <w:highlight w:val="none"/>
                <w:lang w:val="en-US" w:eastAsia="zh-CN"/>
              </w:rPr>
              <w:t>（五）领导作用</w:t>
            </w:r>
          </w:p>
          <w:p w14:paraId="4B12F054">
            <w:pPr>
              <w:ind w:firstLine="420" w:firstLineChars="200"/>
              <w:rPr>
                <w:rFonts w:hint="default" w:eastAsia="宋体"/>
                <w:highlight w:val="none"/>
                <w:lang w:val="en-US" w:eastAsia="zh-CN"/>
              </w:rPr>
            </w:pPr>
            <w:r>
              <w:rPr>
                <w:rFonts w:hint="eastAsia"/>
                <w:highlight w:val="none"/>
                <w:lang w:val="en-US" w:eastAsia="zh-CN"/>
              </w:rPr>
              <w:t>本部分给出了可持续钢管理体系建立与运行的领导作用与承诺、方针、组织的角色、职责和权限等方面的要求。</w:t>
            </w:r>
          </w:p>
          <w:p w14:paraId="11C1C98B">
            <w:pPr>
              <w:ind w:firstLine="420" w:firstLineChars="200"/>
              <w:rPr>
                <w:rFonts w:hint="eastAsia"/>
                <w:highlight w:val="none"/>
                <w:lang w:val="en-US" w:eastAsia="zh-CN"/>
              </w:rPr>
            </w:pPr>
            <w:r>
              <w:rPr>
                <w:rFonts w:hint="eastAsia"/>
                <w:highlight w:val="none"/>
                <w:lang w:val="en-US" w:eastAsia="zh-CN"/>
              </w:rPr>
              <w:t>（六）策划</w:t>
            </w:r>
          </w:p>
          <w:p w14:paraId="5F69DFC4">
            <w:pPr>
              <w:ind w:firstLine="420" w:firstLineChars="200"/>
              <w:rPr>
                <w:rFonts w:hint="eastAsia"/>
                <w:highlight w:val="none"/>
                <w:lang w:val="en-US" w:eastAsia="zh-CN"/>
              </w:rPr>
            </w:pPr>
            <w:r>
              <w:rPr>
                <w:rFonts w:hint="eastAsia"/>
                <w:highlight w:val="none"/>
                <w:lang w:val="en-US" w:eastAsia="zh-CN"/>
              </w:rPr>
              <w:t>可持续钢管理体系建立与运行涉及到相关风险和机遇，组织应对风险和机遇的措施进行策划。应策划和制定可持续钢的目标，并对其实现过程进行策划。</w:t>
            </w:r>
          </w:p>
          <w:p w14:paraId="0924FB70">
            <w:pPr>
              <w:ind w:firstLine="420" w:firstLineChars="200"/>
              <w:rPr>
                <w:rFonts w:hint="eastAsia"/>
                <w:highlight w:val="none"/>
                <w:lang w:val="en-US" w:eastAsia="zh-CN"/>
              </w:rPr>
            </w:pPr>
            <w:r>
              <w:rPr>
                <w:rFonts w:hint="eastAsia"/>
                <w:highlight w:val="none"/>
                <w:lang w:val="en-US" w:eastAsia="zh-CN"/>
              </w:rPr>
              <w:t>（七）支持</w:t>
            </w:r>
          </w:p>
          <w:p w14:paraId="166F398F">
            <w:pPr>
              <w:ind w:firstLine="420" w:firstLineChars="200"/>
              <w:rPr>
                <w:rFonts w:hint="eastAsia"/>
                <w:highlight w:val="none"/>
                <w:lang w:val="en-US" w:eastAsia="zh-CN"/>
              </w:rPr>
            </w:pPr>
            <w:r>
              <w:rPr>
                <w:rFonts w:hint="eastAsia"/>
                <w:highlight w:val="none"/>
                <w:lang w:val="en-US" w:eastAsia="zh-CN"/>
              </w:rPr>
              <w:t>本部分提出了可持续钢管理体系建立与运行需要的支持，包括资源、能力、意识、沟通、成文信息5个方面。分别规定了人员、基础设施、环境、监视和测量、知识、培训、信息沟通、信息的控制与留存等内容。</w:t>
            </w:r>
          </w:p>
          <w:p w14:paraId="02E6C586">
            <w:pPr>
              <w:ind w:firstLine="420" w:firstLineChars="200"/>
              <w:rPr>
                <w:rFonts w:hint="eastAsia"/>
                <w:highlight w:val="none"/>
                <w:lang w:val="en-US" w:eastAsia="zh-CN"/>
              </w:rPr>
            </w:pPr>
            <w:r>
              <w:rPr>
                <w:rFonts w:hint="eastAsia"/>
                <w:highlight w:val="none"/>
                <w:lang w:val="en-US" w:eastAsia="zh-CN"/>
              </w:rPr>
              <w:t>（八）运行</w:t>
            </w:r>
          </w:p>
          <w:p w14:paraId="03143F0D">
            <w:pPr>
              <w:ind w:firstLine="420" w:firstLineChars="200"/>
              <w:rPr>
                <w:rFonts w:hint="eastAsia"/>
                <w:highlight w:val="none"/>
                <w:lang w:val="en-US" w:eastAsia="zh-CN"/>
              </w:rPr>
            </w:pPr>
            <w:r>
              <w:rPr>
                <w:rFonts w:hint="eastAsia"/>
                <w:highlight w:val="none"/>
                <w:lang w:val="en-US" w:eastAsia="zh-CN"/>
              </w:rPr>
              <w:t>本部分对可持续钢管理体系运行提出了要求，包括应对气候变化行动、污染物排放、生态系统和生物多样性保护、能源利用、水资源、循环经济、创新驱动、生产、社会贡献、供应链管理、产品和服务质量、员工、利益相关方沟通、商业道德。主要参考了《上海证券交易所上市公司自律监管指引第14号——可持续发展报告（试行）》、财政部《企业可持续披露准则——基本准则（试行）》、《联合国可持续发展目标》、《责任钢标准》，以及国内钢铁行业的实际情况和发展实践。</w:t>
            </w:r>
          </w:p>
          <w:p w14:paraId="450A1B43">
            <w:pPr>
              <w:ind w:firstLine="420" w:firstLineChars="200"/>
              <w:rPr>
                <w:rFonts w:hint="eastAsia"/>
                <w:highlight w:val="none"/>
                <w:lang w:val="en-US" w:eastAsia="zh-CN"/>
              </w:rPr>
            </w:pPr>
            <w:r>
              <w:rPr>
                <w:rFonts w:hint="eastAsia"/>
                <w:highlight w:val="none"/>
                <w:lang w:val="en-US" w:eastAsia="zh-CN"/>
              </w:rPr>
              <w:t>（九）绩效评价</w:t>
            </w:r>
          </w:p>
          <w:p w14:paraId="647DF179">
            <w:pPr>
              <w:ind w:firstLine="420" w:firstLineChars="200"/>
              <w:rPr>
                <w:rFonts w:hint="eastAsia"/>
                <w:highlight w:val="none"/>
                <w:lang w:val="en-US" w:eastAsia="zh-CN"/>
              </w:rPr>
            </w:pPr>
            <w:r>
              <w:rPr>
                <w:rFonts w:hint="eastAsia"/>
                <w:highlight w:val="none"/>
                <w:lang w:val="en-US" w:eastAsia="zh-CN"/>
              </w:rPr>
              <w:t>本部分参考管理体系标准的高层结构，规定了可持续钢管理体系监视、测量、分析和评价、内部审核、管理评审的要求。</w:t>
            </w:r>
          </w:p>
          <w:p w14:paraId="5EA1B272">
            <w:pPr>
              <w:ind w:firstLine="420" w:firstLineChars="200"/>
              <w:rPr>
                <w:rFonts w:hint="eastAsia"/>
                <w:highlight w:val="none"/>
                <w:lang w:val="en-US" w:eastAsia="zh-CN"/>
              </w:rPr>
            </w:pPr>
            <w:r>
              <w:rPr>
                <w:rFonts w:hint="eastAsia"/>
                <w:highlight w:val="none"/>
                <w:lang w:val="en-US" w:eastAsia="zh-CN"/>
              </w:rPr>
              <w:t>（十）改进</w:t>
            </w:r>
          </w:p>
          <w:p w14:paraId="7D4F1DA1">
            <w:pPr>
              <w:ind w:firstLine="420" w:firstLineChars="200"/>
              <w:rPr>
                <w:rFonts w:hint="eastAsia"/>
                <w:highlight w:val="none"/>
                <w:lang w:val="en-US" w:eastAsia="zh-CN"/>
              </w:rPr>
            </w:pPr>
            <w:r>
              <w:rPr>
                <w:rFonts w:hint="eastAsia"/>
                <w:highlight w:val="none"/>
                <w:lang w:val="en-US" w:eastAsia="zh-CN"/>
              </w:rPr>
              <w:t>本部分参考管理体系标准的高层结构，规定了可持续钢管理体系的纠正、预防以及持续改进的要求。</w:t>
            </w:r>
          </w:p>
          <w:p w14:paraId="4563B5EA">
            <w:pPr>
              <w:ind w:firstLine="420" w:firstLineChars="200"/>
              <w:rPr>
                <w:rFonts w:hint="default"/>
                <w:highlight w:val="none"/>
                <w:lang w:val="en-US" w:eastAsia="zh-CN"/>
              </w:rPr>
            </w:pPr>
            <w:r>
              <w:rPr>
                <w:rFonts w:hint="eastAsia"/>
                <w:highlight w:val="none"/>
                <w:lang w:val="en-US" w:eastAsia="zh-CN"/>
              </w:rPr>
              <w:t>附录A给出了针对第八章运行阶段的</w:t>
            </w:r>
            <w:bookmarkStart w:id="0" w:name="_Toc8554"/>
            <w:r>
              <w:rPr>
                <w:rFonts w:hint="eastAsia"/>
                <w:highlight w:val="none"/>
                <w:lang w:val="en-US" w:eastAsia="zh-CN"/>
              </w:rPr>
              <w:t>推荐性实践</w:t>
            </w:r>
            <w:bookmarkEnd w:id="0"/>
            <w:r>
              <w:rPr>
                <w:rFonts w:hint="eastAsia"/>
                <w:highlight w:val="none"/>
                <w:lang w:val="en-US" w:eastAsia="zh-CN"/>
              </w:rPr>
              <w:t>。</w:t>
            </w:r>
            <w:bookmarkStart w:id="1" w:name="_GoBack"/>
            <w:bookmarkEnd w:id="1"/>
          </w:p>
        </w:tc>
      </w:tr>
      <w:tr w14:paraId="0736D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490" w:hRule="atLeast"/>
          <w:jc w:val="center"/>
        </w:trPr>
        <w:tc>
          <w:tcPr>
            <w:tcW w:w="10158" w:type="dxa"/>
            <w:gridSpan w:val="6"/>
            <w:tcBorders>
              <w:top w:val="nil"/>
              <w:left w:val="nil"/>
              <w:bottom w:val="nil"/>
              <w:right w:val="nil"/>
            </w:tcBorders>
            <w:vAlign w:val="center"/>
          </w:tcPr>
          <w:p w14:paraId="68EE0879">
            <w:pPr>
              <w:rPr>
                <w:rFonts w:ascii="宋体" w:hAnsi="宋体"/>
                <w:b/>
                <w:color w:val="000000"/>
                <w:szCs w:val="21"/>
                <w:highlight w:val="none"/>
              </w:rPr>
            </w:pPr>
            <w:r>
              <w:rPr>
                <w:rFonts w:hint="eastAsia" w:ascii="宋体" w:hAnsi="宋体"/>
                <w:b/>
                <w:color w:val="000000"/>
                <w:szCs w:val="21"/>
                <w:highlight w:val="none"/>
              </w:rPr>
              <w:t>5  验证情况（适用于方法类标准）</w:t>
            </w:r>
          </w:p>
        </w:tc>
      </w:tr>
      <w:tr w14:paraId="6488F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585" w:hRule="atLeast"/>
          <w:jc w:val="center"/>
        </w:trPr>
        <w:tc>
          <w:tcPr>
            <w:tcW w:w="1210" w:type="dxa"/>
            <w:gridSpan w:val="2"/>
            <w:vMerge w:val="restart"/>
            <w:tcBorders>
              <w:top w:val="single" w:color="auto" w:sz="4" w:space="0"/>
              <w:left w:val="single" w:color="auto" w:sz="4" w:space="0"/>
              <w:right w:val="single" w:color="auto" w:sz="4" w:space="0"/>
            </w:tcBorders>
            <w:vAlign w:val="center"/>
          </w:tcPr>
          <w:p w14:paraId="2B834322">
            <w:pPr>
              <w:ind w:left="141" w:leftChars="67" w:right="48" w:rightChars="23"/>
              <w:rPr>
                <w:rFonts w:ascii="宋体" w:hAnsi="宋体"/>
                <w:color w:val="000000"/>
                <w:szCs w:val="21"/>
                <w:highlight w:val="none"/>
              </w:rPr>
            </w:pPr>
            <w:r>
              <w:rPr>
                <w:rFonts w:ascii="宋体" w:hAnsi="宋体"/>
                <w:color w:val="000000"/>
                <w:szCs w:val="21"/>
                <w:highlight w:val="none"/>
              </w:rPr>
              <w:t>5.1 验证单位情况</w:t>
            </w:r>
          </w:p>
        </w:tc>
        <w:tc>
          <w:tcPr>
            <w:tcW w:w="2950" w:type="dxa"/>
            <w:gridSpan w:val="2"/>
            <w:tcBorders>
              <w:top w:val="single" w:color="auto" w:sz="4" w:space="0"/>
              <w:left w:val="single" w:color="auto" w:sz="4" w:space="0"/>
              <w:bottom w:val="single" w:color="auto" w:sz="4" w:space="0"/>
              <w:right w:val="single" w:color="auto" w:sz="4" w:space="0"/>
            </w:tcBorders>
            <w:vAlign w:val="center"/>
          </w:tcPr>
          <w:p w14:paraId="313D7A0A">
            <w:pPr>
              <w:ind w:left="141" w:leftChars="67" w:right="48" w:rightChars="23"/>
              <w:jc w:val="center"/>
              <w:rPr>
                <w:rFonts w:ascii="宋体" w:hAnsi="宋体"/>
                <w:color w:val="000000"/>
                <w:szCs w:val="21"/>
                <w:highlight w:val="none"/>
              </w:rPr>
            </w:pPr>
            <w:r>
              <w:rPr>
                <w:rFonts w:ascii="宋体" w:hAnsi="宋体"/>
                <w:color w:val="000000"/>
                <w:szCs w:val="21"/>
                <w:highlight w:val="none"/>
              </w:rPr>
              <w:t>验证单位</w:t>
            </w:r>
          </w:p>
        </w:tc>
        <w:tc>
          <w:tcPr>
            <w:tcW w:w="2814" w:type="dxa"/>
            <w:tcBorders>
              <w:top w:val="single" w:color="auto" w:sz="4" w:space="0"/>
              <w:left w:val="single" w:color="auto" w:sz="4" w:space="0"/>
              <w:bottom w:val="single" w:color="auto" w:sz="4" w:space="0"/>
              <w:right w:val="single" w:color="auto" w:sz="4" w:space="0"/>
            </w:tcBorders>
            <w:vAlign w:val="center"/>
          </w:tcPr>
          <w:p w14:paraId="10342B96">
            <w:pPr>
              <w:jc w:val="center"/>
              <w:rPr>
                <w:rFonts w:ascii="宋体" w:hAnsi="宋体"/>
                <w:color w:val="000000"/>
                <w:szCs w:val="21"/>
                <w:highlight w:val="none"/>
              </w:rPr>
            </w:pPr>
            <w:r>
              <w:rPr>
                <w:rFonts w:ascii="宋体" w:hAnsi="宋体"/>
                <w:color w:val="000000"/>
                <w:szCs w:val="21"/>
                <w:highlight w:val="none"/>
              </w:rPr>
              <w:t>验证人员</w:t>
            </w:r>
          </w:p>
        </w:tc>
        <w:tc>
          <w:tcPr>
            <w:tcW w:w="3184" w:type="dxa"/>
            <w:tcBorders>
              <w:top w:val="single" w:color="auto" w:sz="4" w:space="0"/>
              <w:left w:val="single" w:color="auto" w:sz="4" w:space="0"/>
              <w:bottom w:val="single" w:color="auto" w:sz="4" w:space="0"/>
              <w:right w:val="single" w:color="auto" w:sz="4" w:space="0"/>
            </w:tcBorders>
            <w:vAlign w:val="center"/>
          </w:tcPr>
          <w:p w14:paraId="3CC3B79E">
            <w:pPr>
              <w:jc w:val="center"/>
              <w:rPr>
                <w:rFonts w:ascii="宋体" w:hAnsi="宋体"/>
                <w:color w:val="000000"/>
                <w:szCs w:val="21"/>
                <w:highlight w:val="none"/>
              </w:rPr>
            </w:pPr>
            <w:r>
              <w:rPr>
                <w:rFonts w:ascii="宋体" w:hAnsi="宋体"/>
                <w:color w:val="000000"/>
                <w:szCs w:val="21"/>
                <w:highlight w:val="none"/>
              </w:rPr>
              <w:t>验证时间</w:t>
            </w:r>
          </w:p>
        </w:tc>
      </w:tr>
      <w:tr w14:paraId="0FA99B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435" w:hRule="atLeast"/>
          <w:jc w:val="center"/>
        </w:trPr>
        <w:tc>
          <w:tcPr>
            <w:tcW w:w="1210" w:type="dxa"/>
            <w:gridSpan w:val="2"/>
            <w:vMerge w:val="continue"/>
            <w:tcBorders>
              <w:left w:val="single" w:color="auto" w:sz="4" w:space="0"/>
              <w:right w:val="single" w:color="auto" w:sz="4" w:space="0"/>
            </w:tcBorders>
            <w:vAlign w:val="center"/>
          </w:tcPr>
          <w:p w14:paraId="23CA0BEE">
            <w:pPr>
              <w:ind w:left="141" w:leftChars="67" w:right="48" w:rightChars="23"/>
              <w:jc w:val="center"/>
              <w:rPr>
                <w:rFonts w:ascii="宋体" w:hAnsi="宋体"/>
                <w:color w:val="000000"/>
                <w:szCs w:val="21"/>
                <w:highlight w:val="none"/>
              </w:rPr>
            </w:pPr>
          </w:p>
        </w:tc>
        <w:tc>
          <w:tcPr>
            <w:tcW w:w="2950" w:type="dxa"/>
            <w:gridSpan w:val="2"/>
            <w:tcBorders>
              <w:top w:val="single" w:color="auto" w:sz="4" w:space="0"/>
              <w:left w:val="single" w:color="auto" w:sz="4" w:space="0"/>
              <w:bottom w:val="single" w:color="auto" w:sz="4" w:space="0"/>
              <w:right w:val="single" w:color="auto" w:sz="4" w:space="0"/>
            </w:tcBorders>
            <w:vAlign w:val="center"/>
          </w:tcPr>
          <w:p w14:paraId="554E3F99">
            <w:pPr>
              <w:ind w:left="141" w:leftChars="67" w:right="48" w:rightChars="23"/>
              <w:jc w:val="center"/>
              <w:rPr>
                <w:rFonts w:hint="default" w:ascii="宋体" w:hAnsi="宋体" w:eastAsia="宋体"/>
                <w:color w:val="000000"/>
                <w:szCs w:val="21"/>
                <w:highlight w:val="none"/>
                <w:lang w:val="en-US" w:eastAsia="zh-CN"/>
              </w:rPr>
            </w:pPr>
          </w:p>
        </w:tc>
        <w:tc>
          <w:tcPr>
            <w:tcW w:w="2814" w:type="dxa"/>
            <w:tcBorders>
              <w:top w:val="single" w:color="auto" w:sz="4" w:space="0"/>
              <w:left w:val="single" w:color="auto" w:sz="4" w:space="0"/>
              <w:bottom w:val="single" w:color="auto" w:sz="4" w:space="0"/>
              <w:right w:val="single" w:color="auto" w:sz="4" w:space="0"/>
            </w:tcBorders>
            <w:vAlign w:val="center"/>
          </w:tcPr>
          <w:p w14:paraId="4D57625F">
            <w:pPr>
              <w:jc w:val="center"/>
              <w:rPr>
                <w:rFonts w:hint="default" w:ascii="宋体" w:hAnsi="宋体" w:eastAsia="宋体"/>
                <w:color w:val="000000"/>
                <w:szCs w:val="21"/>
                <w:highlight w:val="none"/>
                <w:lang w:val="en-US" w:eastAsia="zh-CN"/>
              </w:rPr>
            </w:pPr>
          </w:p>
        </w:tc>
        <w:tc>
          <w:tcPr>
            <w:tcW w:w="3184" w:type="dxa"/>
            <w:tcBorders>
              <w:top w:val="single" w:color="auto" w:sz="4" w:space="0"/>
              <w:left w:val="single" w:color="auto" w:sz="4" w:space="0"/>
              <w:bottom w:val="single" w:color="auto" w:sz="4" w:space="0"/>
              <w:right w:val="single" w:color="auto" w:sz="4" w:space="0"/>
            </w:tcBorders>
            <w:vAlign w:val="center"/>
          </w:tcPr>
          <w:p w14:paraId="3ECA1A19">
            <w:pPr>
              <w:wordWrap w:val="0"/>
              <w:jc w:val="right"/>
              <w:rPr>
                <w:rFonts w:ascii="宋体" w:hAnsi="宋体"/>
                <w:color w:val="000000"/>
                <w:szCs w:val="21"/>
                <w:highlight w:val="none"/>
              </w:rPr>
            </w:pPr>
            <w:r>
              <w:rPr>
                <w:rFonts w:ascii="宋体" w:hAnsi="宋体"/>
                <w:color w:val="000000"/>
                <w:szCs w:val="21"/>
                <w:highlight w:val="none"/>
              </w:rPr>
              <w:t xml:space="preserve">年 </w:t>
            </w:r>
            <w:r>
              <w:rPr>
                <w:rFonts w:hint="eastAsia" w:ascii="宋体" w:hAnsi="宋体"/>
                <w:color w:val="000000"/>
                <w:szCs w:val="21"/>
                <w:highlight w:val="none"/>
                <w:lang w:val="en-US" w:eastAsia="zh-CN"/>
              </w:rPr>
              <w:t xml:space="preserve">   </w:t>
            </w:r>
            <w:r>
              <w:rPr>
                <w:rFonts w:ascii="宋体" w:hAnsi="宋体"/>
                <w:color w:val="000000"/>
                <w:szCs w:val="21"/>
                <w:highlight w:val="none"/>
              </w:rPr>
              <w:t xml:space="preserve">月  </w:t>
            </w:r>
            <w:r>
              <w:rPr>
                <w:rFonts w:hint="eastAsia" w:ascii="宋体" w:hAnsi="宋体"/>
                <w:color w:val="000000"/>
                <w:szCs w:val="21"/>
                <w:highlight w:val="none"/>
                <w:lang w:val="en-US" w:eastAsia="zh-CN"/>
              </w:rPr>
              <w:t xml:space="preserve"> </w:t>
            </w:r>
            <w:r>
              <w:rPr>
                <w:rFonts w:ascii="宋体" w:hAnsi="宋体"/>
                <w:color w:val="000000"/>
                <w:szCs w:val="21"/>
                <w:highlight w:val="none"/>
              </w:rPr>
              <w:t>日</w:t>
            </w:r>
          </w:p>
        </w:tc>
      </w:tr>
      <w:tr w14:paraId="00385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435" w:hRule="atLeast"/>
          <w:jc w:val="center"/>
        </w:trPr>
        <w:tc>
          <w:tcPr>
            <w:tcW w:w="1210" w:type="dxa"/>
            <w:gridSpan w:val="2"/>
            <w:vMerge w:val="continue"/>
            <w:tcBorders>
              <w:left w:val="single" w:color="auto" w:sz="4" w:space="0"/>
              <w:right w:val="single" w:color="auto" w:sz="4" w:space="0"/>
            </w:tcBorders>
            <w:vAlign w:val="center"/>
          </w:tcPr>
          <w:p w14:paraId="5E723822">
            <w:pPr>
              <w:ind w:left="141" w:leftChars="67" w:right="48" w:rightChars="23"/>
              <w:jc w:val="center"/>
              <w:rPr>
                <w:rFonts w:ascii="宋体" w:hAnsi="宋体"/>
                <w:color w:val="000000"/>
                <w:szCs w:val="21"/>
                <w:highlight w:val="none"/>
              </w:rPr>
            </w:pPr>
          </w:p>
        </w:tc>
        <w:tc>
          <w:tcPr>
            <w:tcW w:w="2950" w:type="dxa"/>
            <w:gridSpan w:val="2"/>
            <w:tcBorders>
              <w:top w:val="single" w:color="auto" w:sz="4" w:space="0"/>
              <w:left w:val="single" w:color="auto" w:sz="4" w:space="0"/>
              <w:bottom w:val="single" w:color="auto" w:sz="4" w:space="0"/>
              <w:right w:val="single" w:color="auto" w:sz="4" w:space="0"/>
            </w:tcBorders>
            <w:vAlign w:val="center"/>
          </w:tcPr>
          <w:p w14:paraId="32758DF9">
            <w:pPr>
              <w:ind w:left="141" w:leftChars="67" w:right="48" w:rightChars="23"/>
              <w:jc w:val="center"/>
              <w:rPr>
                <w:rFonts w:ascii="宋体" w:hAnsi="宋体"/>
                <w:color w:val="000000"/>
                <w:szCs w:val="21"/>
                <w:highlight w:val="none"/>
              </w:rPr>
            </w:pPr>
          </w:p>
        </w:tc>
        <w:tc>
          <w:tcPr>
            <w:tcW w:w="2814" w:type="dxa"/>
            <w:tcBorders>
              <w:top w:val="single" w:color="auto" w:sz="4" w:space="0"/>
              <w:left w:val="single" w:color="auto" w:sz="4" w:space="0"/>
              <w:bottom w:val="single" w:color="auto" w:sz="4" w:space="0"/>
              <w:right w:val="single" w:color="auto" w:sz="4" w:space="0"/>
            </w:tcBorders>
            <w:vAlign w:val="center"/>
          </w:tcPr>
          <w:p w14:paraId="79E28558">
            <w:pPr>
              <w:jc w:val="center"/>
              <w:rPr>
                <w:rFonts w:ascii="宋体" w:hAnsi="宋体"/>
                <w:color w:val="000000"/>
                <w:szCs w:val="21"/>
                <w:highlight w:val="none"/>
              </w:rPr>
            </w:pPr>
          </w:p>
        </w:tc>
        <w:tc>
          <w:tcPr>
            <w:tcW w:w="3184" w:type="dxa"/>
            <w:tcBorders>
              <w:top w:val="single" w:color="auto" w:sz="4" w:space="0"/>
              <w:left w:val="single" w:color="auto" w:sz="4" w:space="0"/>
              <w:bottom w:val="single" w:color="auto" w:sz="4" w:space="0"/>
              <w:right w:val="single" w:color="auto" w:sz="4" w:space="0"/>
            </w:tcBorders>
          </w:tcPr>
          <w:p w14:paraId="7B467AE0">
            <w:pPr>
              <w:jc w:val="right"/>
              <w:rPr>
                <w:rFonts w:ascii="宋体" w:hAnsi="宋体"/>
                <w:color w:val="000000"/>
                <w:szCs w:val="21"/>
                <w:highlight w:val="none"/>
              </w:rPr>
            </w:pPr>
            <w:r>
              <w:rPr>
                <w:rFonts w:ascii="宋体" w:hAnsi="宋体"/>
                <w:color w:val="000000"/>
                <w:szCs w:val="21"/>
                <w:highlight w:val="none"/>
              </w:rPr>
              <w:t>年    月   日</w:t>
            </w:r>
          </w:p>
        </w:tc>
      </w:tr>
      <w:tr w14:paraId="70463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435" w:hRule="atLeast"/>
          <w:jc w:val="center"/>
        </w:trPr>
        <w:tc>
          <w:tcPr>
            <w:tcW w:w="1210" w:type="dxa"/>
            <w:gridSpan w:val="2"/>
            <w:vMerge w:val="continue"/>
            <w:tcBorders>
              <w:left w:val="single" w:color="auto" w:sz="4" w:space="0"/>
              <w:right w:val="single" w:color="auto" w:sz="4" w:space="0"/>
            </w:tcBorders>
            <w:vAlign w:val="center"/>
          </w:tcPr>
          <w:p w14:paraId="7EE9ABE1">
            <w:pPr>
              <w:ind w:left="141" w:leftChars="67" w:right="48" w:rightChars="23"/>
              <w:jc w:val="center"/>
              <w:rPr>
                <w:rFonts w:ascii="宋体" w:hAnsi="宋体"/>
                <w:color w:val="000000"/>
                <w:szCs w:val="21"/>
                <w:highlight w:val="none"/>
              </w:rPr>
            </w:pPr>
          </w:p>
        </w:tc>
        <w:tc>
          <w:tcPr>
            <w:tcW w:w="2950" w:type="dxa"/>
            <w:gridSpan w:val="2"/>
            <w:tcBorders>
              <w:top w:val="single" w:color="auto" w:sz="4" w:space="0"/>
              <w:left w:val="single" w:color="auto" w:sz="4" w:space="0"/>
              <w:bottom w:val="single" w:color="auto" w:sz="4" w:space="0"/>
              <w:right w:val="single" w:color="auto" w:sz="4" w:space="0"/>
            </w:tcBorders>
            <w:vAlign w:val="center"/>
          </w:tcPr>
          <w:p w14:paraId="70A75A64">
            <w:pPr>
              <w:ind w:left="141" w:leftChars="67" w:right="48" w:rightChars="23"/>
              <w:jc w:val="center"/>
              <w:rPr>
                <w:rFonts w:ascii="宋体" w:hAnsi="宋体"/>
                <w:color w:val="000000"/>
                <w:szCs w:val="21"/>
                <w:highlight w:val="none"/>
              </w:rPr>
            </w:pPr>
          </w:p>
        </w:tc>
        <w:tc>
          <w:tcPr>
            <w:tcW w:w="2814" w:type="dxa"/>
            <w:tcBorders>
              <w:top w:val="single" w:color="auto" w:sz="4" w:space="0"/>
              <w:left w:val="single" w:color="auto" w:sz="4" w:space="0"/>
              <w:bottom w:val="single" w:color="auto" w:sz="4" w:space="0"/>
              <w:right w:val="single" w:color="auto" w:sz="4" w:space="0"/>
            </w:tcBorders>
            <w:vAlign w:val="center"/>
          </w:tcPr>
          <w:p w14:paraId="03A93308">
            <w:pPr>
              <w:jc w:val="center"/>
              <w:rPr>
                <w:rFonts w:ascii="宋体" w:hAnsi="宋体"/>
                <w:color w:val="000000"/>
                <w:szCs w:val="21"/>
                <w:highlight w:val="none"/>
              </w:rPr>
            </w:pPr>
          </w:p>
          <w:p w14:paraId="22E22AEB">
            <w:pPr>
              <w:jc w:val="center"/>
              <w:rPr>
                <w:rFonts w:ascii="宋体" w:hAnsi="宋体"/>
                <w:color w:val="000000"/>
                <w:szCs w:val="21"/>
                <w:highlight w:val="none"/>
              </w:rPr>
            </w:pPr>
          </w:p>
        </w:tc>
        <w:tc>
          <w:tcPr>
            <w:tcW w:w="3184" w:type="dxa"/>
            <w:tcBorders>
              <w:top w:val="single" w:color="auto" w:sz="4" w:space="0"/>
              <w:left w:val="single" w:color="auto" w:sz="4" w:space="0"/>
              <w:bottom w:val="single" w:color="auto" w:sz="4" w:space="0"/>
              <w:right w:val="single" w:color="auto" w:sz="4" w:space="0"/>
            </w:tcBorders>
          </w:tcPr>
          <w:p w14:paraId="3A7D8CB9">
            <w:pPr>
              <w:jc w:val="right"/>
              <w:rPr>
                <w:rFonts w:ascii="宋体" w:hAnsi="宋体"/>
                <w:color w:val="000000"/>
                <w:szCs w:val="21"/>
                <w:highlight w:val="none"/>
              </w:rPr>
            </w:pPr>
            <w:r>
              <w:rPr>
                <w:rFonts w:ascii="宋体" w:hAnsi="宋体"/>
                <w:color w:val="000000"/>
                <w:szCs w:val="21"/>
                <w:highlight w:val="none"/>
              </w:rPr>
              <w:t>年    月   日</w:t>
            </w:r>
          </w:p>
        </w:tc>
      </w:tr>
      <w:tr w14:paraId="6E2BB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435" w:hRule="atLeast"/>
          <w:jc w:val="center"/>
        </w:trPr>
        <w:tc>
          <w:tcPr>
            <w:tcW w:w="1210" w:type="dxa"/>
            <w:gridSpan w:val="2"/>
            <w:vMerge w:val="continue"/>
            <w:tcBorders>
              <w:left w:val="single" w:color="auto" w:sz="4" w:space="0"/>
              <w:right w:val="single" w:color="auto" w:sz="4" w:space="0"/>
            </w:tcBorders>
            <w:vAlign w:val="center"/>
          </w:tcPr>
          <w:p w14:paraId="2A48728C">
            <w:pPr>
              <w:ind w:left="141" w:leftChars="67" w:right="48" w:rightChars="23"/>
              <w:jc w:val="center"/>
              <w:rPr>
                <w:rFonts w:ascii="宋体" w:hAnsi="宋体"/>
                <w:color w:val="000000"/>
                <w:szCs w:val="21"/>
                <w:highlight w:val="none"/>
              </w:rPr>
            </w:pPr>
          </w:p>
        </w:tc>
        <w:tc>
          <w:tcPr>
            <w:tcW w:w="2950" w:type="dxa"/>
            <w:gridSpan w:val="2"/>
            <w:tcBorders>
              <w:top w:val="single" w:color="auto" w:sz="4" w:space="0"/>
              <w:left w:val="single" w:color="auto" w:sz="4" w:space="0"/>
              <w:bottom w:val="single" w:color="auto" w:sz="4" w:space="0"/>
              <w:right w:val="single" w:color="auto" w:sz="4" w:space="0"/>
            </w:tcBorders>
            <w:vAlign w:val="center"/>
          </w:tcPr>
          <w:p w14:paraId="6F37E916">
            <w:pPr>
              <w:ind w:left="141" w:leftChars="67" w:right="48" w:rightChars="23"/>
              <w:jc w:val="center"/>
              <w:rPr>
                <w:rFonts w:ascii="宋体" w:hAnsi="宋体"/>
                <w:color w:val="000000"/>
                <w:szCs w:val="21"/>
                <w:highlight w:val="none"/>
              </w:rPr>
            </w:pPr>
          </w:p>
        </w:tc>
        <w:tc>
          <w:tcPr>
            <w:tcW w:w="2814" w:type="dxa"/>
            <w:tcBorders>
              <w:top w:val="single" w:color="auto" w:sz="4" w:space="0"/>
              <w:left w:val="single" w:color="auto" w:sz="4" w:space="0"/>
              <w:bottom w:val="single" w:color="auto" w:sz="4" w:space="0"/>
              <w:right w:val="single" w:color="auto" w:sz="4" w:space="0"/>
            </w:tcBorders>
            <w:vAlign w:val="center"/>
          </w:tcPr>
          <w:p w14:paraId="67E1D67A">
            <w:pPr>
              <w:jc w:val="center"/>
              <w:rPr>
                <w:rFonts w:ascii="宋体" w:hAnsi="宋体"/>
                <w:color w:val="000000"/>
                <w:szCs w:val="21"/>
                <w:highlight w:val="none"/>
              </w:rPr>
            </w:pPr>
          </w:p>
        </w:tc>
        <w:tc>
          <w:tcPr>
            <w:tcW w:w="3184" w:type="dxa"/>
            <w:tcBorders>
              <w:top w:val="single" w:color="auto" w:sz="4" w:space="0"/>
              <w:left w:val="single" w:color="auto" w:sz="4" w:space="0"/>
              <w:bottom w:val="single" w:color="auto" w:sz="4" w:space="0"/>
              <w:right w:val="single" w:color="auto" w:sz="4" w:space="0"/>
            </w:tcBorders>
          </w:tcPr>
          <w:p w14:paraId="74F18870">
            <w:pPr>
              <w:jc w:val="right"/>
              <w:rPr>
                <w:rFonts w:ascii="宋体" w:hAnsi="宋体"/>
                <w:color w:val="000000"/>
                <w:szCs w:val="21"/>
                <w:highlight w:val="none"/>
              </w:rPr>
            </w:pPr>
            <w:r>
              <w:rPr>
                <w:rFonts w:ascii="宋体" w:hAnsi="宋体"/>
                <w:color w:val="000000"/>
                <w:szCs w:val="21"/>
                <w:highlight w:val="none"/>
              </w:rPr>
              <w:t>年    月   日</w:t>
            </w:r>
          </w:p>
        </w:tc>
      </w:tr>
      <w:tr w14:paraId="0CD2B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2580" w:hRule="atLeast"/>
          <w:jc w:val="center"/>
        </w:trPr>
        <w:tc>
          <w:tcPr>
            <w:tcW w:w="1210" w:type="dxa"/>
            <w:gridSpan w:val="2"/>
            <w:tcBorders>
              <w:top w:val="single" w:color="auto" w:sz="4" w:space="0"/>
              <w:left w:val="single" w:color="auto" w:sz="4" w:space="0"/>
              <w:bottom w:val="single" w:color="auto" w:sz="4" w:space="0"/>
              <w:right w:val="single" w:color="auto" w:sz="4" w:space="0"/>
            </w:tcBorders>
            <w:vAlign w:val="center"/>
          </w:tcPr>
          <w:p w14:paraId="5BD4B67A">
            <w:pPr>
              <w:ind w:left="141" w:leftChars="67" w:right="48" w:rightChars="23"/>
              <w:rPr>
                <w:rFonts w:ascii="宋体" w:hAnsi="宋体"/>
                <w:szCs w:val="21"/>
                <w:highlight w:val="none"/>
              </w:rPr>
            </w:pPr>
            <w:r>
              <w:rPr>
                <w:rFonts w:ascii="宋体" w:hAnsi="宋体"/>
                <w:szCs w:val="21"/>
                <w:highlight w:val="none"/>
              </w:rPr>
              <w:t>5.2 验证过程</w:t>
            </w:r>
          </w:p>
        </w:tc>
        <w:tc>
          <w:tcPr>
            <w:tcW w:w="8948" w:type="dxa"/>
            <w:gridSpan w:val="4"/>
            <w:tcBorders>
              <w:top w:val="single" w:color="auto" w:sz="4" w:space="0"/>
              <w:left w:val="single" w:color="auto" w:sz="4" w:space="0"/>
              <w:bottom w:val="single" w:color="auto" w:sz="4" w:space="0"/>
              <w:right w:val="single" w:color="auto" w:sz="4" w:space="0"/>
            </w:tcBorders>
            <w:vAlign w:val="center"/>
          </w:tcPr>
          <w:p w14:paraId="781860E3">
            <w:pPr>
              <w:rPr>
                <w:rFonts w:hint="default" w:ascii="宋体" w:hAnsi="宋体" w:eastAsia="宋体"/>
                <w:szCs w:val="21"/>
                <w:highlight w:val="yellow"/>
                <w:lang w:val="en-US" w:eastAsia="zh-CN"/>
              </w:rPr>
            </w:pPr>
          </w:p>
        </w:tc>
      </w:tr>
      <w:tr w14:paraId="5E8BBA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1698" w:hRule="atLeast"/>
          <w:jc w:val="center"/>
        </w:trPr>
        <w:tc>
          <w:tcPr>
            <w:tcW w:w="1210" w:type="dxa"/>
            <w:gridSpan w:val="2"/>
            <w:tcBorders>
              <w:top w:val="single" w:color="auto" w:sz="4" w:space="0"/>
              <w:left w:val="single" w:color="auto" w:sz="4" w:space="0"/>
              <w:bottom w:val="single" w:color="auto" w:sz="4" w:space="0"/>
              <w:right w:val="single" w:color="auto" w:sz="4" w:space="0"/>
            </w:tcBorders>
            <w:vAlign w:val="center"/>
          </w:tcPr>
          <w:p w14:paraId="544374F5">
            <w:pPr>
              <w:ind w:left="141" w:leftChars="67" w:right="48" w:rightChars="23"/>
              <w:rPr>
                <w:rFonts w:ascii="宋体" w:hAnsi="宋体"/>
                <w:szCs w:val="21"/>
                <w:highlight w:val="none"/>
              </w:rPr>
            </w:pPr>
            <w:r>
              <w:rPr>
                <w:rFonts w:ascii="宋体" w:hAnsi="宋体"/>
                <w:szCs w:val="21"/>
                <w:highlight w:val="none"/>
              </w:rPr>
              <w:t>5.3 验证数据分析</w:t>
            </w:r>
          </w:p>
        </w:tc>
        <w:tc>
          <w:tcPr>
            <w:tcW w:w="8948" w:type="dxa"/>
            <w:gridSpan w:val="4"/>
            <w:tcBorders>
              <w:top w:val="single" w:color="auto" w:sz="4" w:space="0"/>
              <w:left w:val="single" w:color="auto" w:sz="4" w:space="0"/>
              <w:bottom w:val="single" w:color="auto" w:sz="4" w:space="0"/>
              <w:right w:val="single" w:color="auto" w:sz="4" w:space="0"/>
            </w:tcBorders>
            <w:vAlign w:val="center"/>
          </w:tcPr>
          <w:p w14:paraId="69A81A44">
            <w:pPr>
              <w:rPr>
                <w:rFonts w:hint="default" w:ascii="Times New Roman" w:hAnsi="Times New Roman" w:cs="Times New Roman"/>
                <w:szCs w:val="21"/>
                <w:highlight w:val="yellow"/>
                <w:lang w:val="en-US" w:eastAsia="zh-CN"/>
              </w:rPr>
            </w:pPr>
          </w:p>
        </w:tc>
      </w:tr>
      <w:tr w14:paraId="091D3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2119" w:hRule="atLeast"/>
          <w:jc w:val="center"/>
        </w:trPr>
        <w:tc>
          <w:tcPr>
            <w:tcW w:w="1210" w:type="dxa"/>
            <w:gridSpan w:val="2"/>
            <w:tcBorders>
              <w:top w:val="single" w:color="auto" w:sz="4" w:space="0"/>
              <w:left w:val="single" w:color="auto" w:sz="4" w:space="0"/>
              <w:bottom w:val="single" w:color="auto" w:sz="4" w:space="0"/>
              <w:right w:val="single" w:color="auto" w:sz="4" w:space="0"/>
            </w:tcBorders>
            <w:vAlign w:val="center"/>
          </w:tcPr>
          <w:p w14:paraId="549AF7BB">
            <w:pPr>
              <w:ind w:left="141" w:leftChars="67" w:right="48" w:rightChars="23"/>
              <w:rPr>
                <w:rFonts w:ascii="宋体" w:hAnsi="宋体"/>
                <w:szCs w:val="21"/>
                <w:highlight w:val="none"/>
              </w:rPr>
            </w:pPr>
            <w:r>
              <w:rPr>
                <w:rFonts w:ascii="宋体" w:hAnsi="宋体"/>
                <w:szCs w:val="21"/>
                <w:highlight w:val="none"/>
              </w:rPr>
              <w:t>5.4 验证评价</w:t>
            </w:r>
          </w:p>
        </w:tc>
        <w:tc>
          <w:tcPr>
            <w:tcW w:w="8948" w:type="dxa"/>
            <w:gridSpan w:val="4"/>
            <w:tcBorders>
              <w:top w:val="single" w:color="auto" w:sz="4" w:space="0"/>
              <w:left w:val="single" w:color="auto" w:sz="4" w:space="0"/>
              <w:bottom w:val="single" w:color="auto" w:sz="4" w:space="0"/>
              <w:right w:val="single" w:color="auto" w:sz="4" w:space="0"/>
            </w:tcBorders>
            <w:vAlign w:val="center"/>
          </w:tcPr>
          <w:p w14:paraId="1E6D06FE">
            <w:pPr>
              <w:numPr>
                <w:ilvl w:val="0"/>
                <w:numId w:val="0"/>
              </w:numPr>
              <w:rPr>
                <w:rFonts w:hint="default" w:cs="Times New Roman"/>
                <w:szCs w:val="21"/>
                <w:highlight w:val="yellow"/>
                <w:lang w:val="en-US" w:eastAsia="zh-CN"/>
              </w:rPr>
            </w:pPr>
          </w:p>
        </w:tc>
      </w:tr>
      <w:tr w14:paraId="50EBAD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gridAfter w:val="1"/>
          <w:wAfter w:w="302" w:type="dxa"/>
          <w:trHeight w:val="2026" w:hRule="atLeast"/>
          <w:jc w:val="center"/>
        </w:trPr>
        <w:tc>
          <w:tcPr>
            <w:tcW w:w="1210" w:type="dxa"/>
            <w:gridSpan w:val="2"/>
            <w:tcBorders>
              <w:top w:val="single" w:color="auto" w:sz="4" w:space="0"/>
              <w:left w:val="single" w:color="auto" w:sz="4" w:space="0"/>
              <w:bottom w:val="single" w:color="auto" w:sz="4" w:space="0"/>
              <w:right w:val="single" w:color="auto" w:sz="4" w:space="0"/>
            </w:tcBorders>
            <w:vAlign w:val="center"/>
          </w:tcPr>
          <w:p w14:paraId="32772BC2">
            <w:pPr>
              <w:ind w:left="141" w:leftChars="67" w:right="48" w:rightChars="23"/>
              <w:rPr>
                <w:rFonts w:ascii="宋体" w:hAnsi="宋体"/>
                <w:szCs w:val="21"/>
                <w:highlight w:val="none"/>
              </w:rPr>
            </w:pPr>
            <w:r>
              <w:rPr>
                <w:rFonts w:ascii="宋体" w:hAnsi="宋体"/>
                <w:szCs w:val="21"/>
                <w:highlight w:val="none"/>
              </w:rPr>
              <w:t>5.5 其他应说明的情况</w:t>
            </w:r>
          </w:p>
        </w:tc>
        <w:tc>
          <w:tcPr>
            <w:tcW w:w="8948" w:type="dxa"/>
            <w:gridSpan w:val="4"/>
            <w:tcBorders>
              <w:top w:val="single" w:color="auto" w:sz="4" w:space="0"/>
              <w:left w:val="single" w:color="auto" w:sz="4" w:space="0"/>
              <w:bottom w:val="single" w:color="auto" w:sz="4" w:space="0"/>
              <w:right w:val="single" w:color="auto" w:sz="4" w:space="0"/>
            </w:tcBorders>
            <w:vAlign w:val="center"/>
          </w:tcPr>
          <w:p w14:paraId="4956B513">
            <w:pPr>
              <w:rPr>
                <w:rFonts w:hint="eastAsia" w:ascii="宋体" w:hAnsi="宋体" w:eastAsia="宋体"/>
                <w:szCs w:val="21"/>
                <w:highlight w:val="yellow"/>
                <w:lang w:val="en-US" w:eastAsia="zh-CN"/>
              </w:rPr>
            </w:pPr>
          </w:p>
        </w:tc>
      </w:tr>
    </w:tbl>
    <w:p w14:paraId="27969992">
      <w:pPr>
        <w:rPr>
          <w:highlight w:val="yellow"/>
        </w:rPr>
      </w:pPr>
    </w:p>
    <w:tbl>
      <w:tblPr>
        <w:tblStyle w:val="6"/>
        <w:tblW w:w="962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794"/>
        <w:gridCol w:w="6"/>
        <w:gridCol w:w="1288"/>
        <w:gridCol w:w="1080"/>
        <w:gridCol w:w="1461"/>
        <w:gridCol w:w="1464"/>
        <w:gridCol w:w="2532"/>
      </w:tblGrid>
      <w:tr w14:paraId="1D6043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58" w:hRule="atLeast"/>
          <w:jc w:val="center"/>
        </w:trPr>
        <w:tc>
          <w:tcPr>
            <w:tcW w:w="9625" w:type="dxa"/>
            <w:gridSpan w:val="7"/>
            <w:tcBorders>
              <w:top w:val="nil"/>
              <w:left w:val="nil"/>
              <w:bottom w:val="nil"/>
              <w:right w:val="nil"/>
            </w:tcBorders>
            <w:vAlign w:val="center"/>
          </w:tcPr>
          <w:p w14:paraId="362703CE">
            <w:pPr>
              <w:rPr>
                <w:rFonts w:ascii="宋体" w:hAnsi="宋体"/>
                <w:b/>
                <w:color w:val="000000"/>
                <w:szCs w:val="21"/>
                <w:highlight w:val="none"/>
              </w:rPr>
            </w:pPr>
            <w:r>
              <w:rPr>
                <w:rFonts w:hint="eastAsia" w:ascii="宋体" w:hAnsi="宋体"/>
                <w:b/>
                <w:color w:val="000000"/>
                <w:szCs w:val="21"/>
                <w:highlight w:val="none"/>
              </w:rPr>
              <w:t>6  附加说明（可选项）</w:t>
            </w:r>
          </w:p>
        </w:tc>
      </w:tr>
      <w:tr w14:paraId="33B05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73" w:hRule="atLeast"/>
          <w:jc w:val="center"/>
        </w:trPr>
        <w:tc>
          <w:tcPr>
            <w:tcW w:w="1794" w:type="dxa"/>
            <w:tcBorders>
              <w:top w:val="single" w:color="auto" w:sz="4" w:space="0"/>
              <w:left w:val="single" w:color="auto" w:sz="4" w:space="0"/>
              <w:bottom w:val="single" w:color="auto" w:sz="4" w:space="0"/>
              <w:right w:val="single" w:color="auto" w:sz="4" w:space="0"/>
            </w:tcBorders>
            <w:vAlign w:val="center"/>
          </w:tcPr>
          <w:p w14:paraId="5775B687">
            <w:pPr>
              <w:ind w:left="141" w:leftChars="67" w:right="176" w:rightChars="84"/>
              <w:rPr>
                <w:rFonts w:ascii="宋体" w:hAnsi="宋体"/>
                <w:color w:val="000000"/>
                <w:szCs w:val="21"/>
                <w:highlight w:val="none"/>
              </w:rPr>
            </w:pPr>
            <w:r>
              <w:rPr>
                <w:rFonts w:ascii="宋体" w:hAnsi="宋体"/>
                <w:color w:val="000000"/>
                <w:szCs w:val="21"/>
                <w:highlight w:val="none"/>
              </w:rPr>
              <w:t>6.1 宣贯标准的建议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6750333D">
            <w:pPr>
              <w:rPr>
                <w:rFonts w:asciiTheme="minorEastAsia" w:hAnsiTheme="minorEastAsia" w:eastAsiaTheme="minorEastAsia"/>
                <w:color w:val="000000"/>
                <w:szCs w:val="21"/>
                <w:highlight w:val="none"/>
              </w:rPr>
            </w:pPr>
            <w:r>
              <w:rPr>
                <w:rFonts w:hint="eastAsia" w:asciiTheme="minorEastAsia" w:hAnsiTheme="minorEastAsia" w:eastAsiaTheme="minorEastAsia"/>
                <w:highlight w:val="none"/>
              </w:rPr>
              <w:t>本文件由国家认证认可监督管理委员会提出并归口，经过审定报批后，由中国国家认证认可监督管理委员会发布。建议本文件批准发布6个月后实施，在钢铁企业以及认证机构进行宣贯执行。</w:t>
            </w:r>
          </w:p>
        </w:tc>
      </w:tr>
      <w:tr w14:paraId="1F499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06" w:hRule="atLeast"/>
          <w:jc w:val="center"/>
        </w:trPr>
        <w:tc>
          <w:tcPr>
            <w:tcW w:w="1794" w:type="dxa"/>
            <w:tcBorders>
              <w:top w:val="single" w:color="auto" w:sz="4" w:space="0"/>
              <w:left w:val="single" w:color="auto" w:sz="4" w:space="0"/>
              <w:bottom w:val="single" w:color="auto" w:sz="4" w:space="0"/>
              <w:right w:val="single" w:color="auto" w:sz="4" w:space="0"/>
            </w:tcBorders>
            <w:vAlign w:val="center"/>
          </w:tcPr>
          <w:p w14:paraId="1B3A6B60">
            <w:pPr>
              <w:ind w:left="141" w:leftChars="67" w:right="176" w:rightChars="84"/>
              <w:rPr>
                <w:rFonts w:ascii="宋体" w:hAnsi="宋体"/>
                <w:color w:val="000000"/>
                <w:szCs w:val="21"/>
                <w:highlight w:val="none"/>
              </w:rPr>
            </w:pPr>
            <w:r>
              <w:rPr>
                <w:rFonts w:ascii="宋体" w:hAnsi="宋体"/>
                <w:color w:val="000000"/>
                <w:szCs w:val="21"/>
                <w:highlight w:val="none"/>
              </w:rPr>
              <w:t>6.2 修订和废除现行有关标准的建议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45592B16">
            <w:pPr>
              <w:rPr>
                <w:rFonts w:asciiTheme="minorEastAsia" w:hAnsiTheme="minorEastAsia" w:eastAsiaTheme="minorEastAsia"/>
                <w:color w:val="000000"/>
                <w:szCs w:val="21"/>
                <w:highlight w:val="none"/>
              </w:rPr>
            </w:pPr>
            <w:r>
              <w:rPr>
                <w:rFonts w:hint="eastAsia" w:asciiTheme="minorEastAsia" w:hAnsiTheme="minorEastAsia" w:eastAsiaTheme="minorEastAsia"/>
                <w:highlight w:val="none"/>
              </w:rPr>
              <w:t>本标准与我国的现行法律、法规和强制性标准是协调的，不存在任何抵触现象。</w:t>
            </w:r>
          </w:p>
        </w:tc>
      </w:tr>
      <w:tr w14:paraId="7033B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74" w:hRule="atLeast"/>
          <w:jc w:val="center"/>
        </w:trPr>
        <w:tc>
          <w:tcPr>
            <w:tcW w:w="1794" w:type="dxa"/>
            <w:tcBorders>
              <w:top w:val="single" w:color="auto" w:sz="4" w:space="0"/>
              <w:left w:val="single" w:color="auto" w:sz="4" w:space="0"/>
              <w:bottom w:val="single" w:color="auto" w:sz="4" w:space="0"/>
              <w:right w:val="single" w:color="auto" w:sz="4" w:space="0"/>
            </w:tcBorders>
            <w:vAlign w:val="center"/>
          </w:tcPr>
          <w:p w14:paraId="740ED929">
            <w:pPr>
              <w:ind w:left="141" w:leftChars="67" w:right="176" w:rightChars="84"/>
              <w:rPr>
                <w:rFonts w:ascii="宋体" w:hAnsi="宋体"/>
                <w:color w:val="000000"/>
                <w:szCs w:val="21"/>
                <w:highlight w:val="none"/>
              </w:rPr>
            </w:pPr>
            <w:r>
              <w:rPr>
                <w:rFonts w:ascii="宋体" w:hAnsi="宋体"/>
                <w:color w:val="000000"/>
                <w:szCs w:val="21"/>
                <w:highlight w:val="none"/>
              </w:rPr>
              <w:t>6.</w:t>
            </w:r>
            <w:r>
              <w:rPr>
                <w:rFonts w:hint="eastAsia" w:ascii="宋体" w:hAnsi="宋体"/>
                <w:color w:val="000000"/>
                <w:szCs w:val="21"/>
                <w:highlight w:val="none"/>
              </w:rPr>
              <w:t>3重大分歧意见的处理经过和依据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4B1121CA">
            <w:pPr>
              <w:rPr>
                <w:rFonts w:asciiTheme="minorEastAsia" w:hAnsiTheme="minorEastAsia" w:eastAsiaTheme="minorEastAsia"/>
                <w:color w:val="000000"/>
                <w:szCs w:val="21"/>
                <w:highlight w:val="none"/>
              </w:rPr>
            </w:pPr>
            <w:r>
              <w:rPr>
                <w:rFonts w:hint="eastAsia" w:asciiTheme="minorEastAsia" w:hAnsiTheme="minorEastAsia" w:eastAsiaTheme="minorEastAsia"/>
                <w:highlight w:val="none"/>
              </w:rPr>
              <w:t>无</w:t>
            </w:r>
          </w:p>
        </w:tc>
      </w:tr>
      <w:tr w14:paraId="75D56F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28" w:hRule="atLeast"/>
          <w:jc w:val="center"/>
        </w:trPr>
        <w:tc>
          <w:tcPr>
            <w:tcW w:w="1794" w:type="dxa"/>
            <w:tcBorders>
              <w:top w:val="single" w:color="auto" w:sz="4" w:space="0"/>
              <w:left w:val="single" w:color="auto" w:sz="4" w:space="0"/>
              <w:bottom w:val="single" w:color="auto" w:sz="4" w:space="0"/>
              <w:right w:val="single" w:color="auto" w:sz="4" w:space="0"/>
            </w:tcBorders>
            <w:vAlign w:val="center"/>
          </w:tcPr>
          <w:p w14:paraId="3F40B644">
            <w:pPr>
              <w:ind w:left="141" w:leftChars="67" w:right="176" w:rightChars="84"/>
              <w:rPr>
                <w:rFonts w:ascii="宋体" w:hAnsi="宋体"/>
                <w:color w:val="000000"/>
                <w:szCs w:val="21"/>
                <w:highlight w:val="none"/>
              </w:rPr>
            </w:pPr>
            <w:r>
              <w:rPr>
                <w:rFonts w:ascii="宋体" w:hAnsi="宋体"/>
                <w:color w:val="000000"/>
                <w:szCs w:val="21"/>
                <w:highlight w:val="none"/>
              </w:rPr>
              <w:t>6.4 其他需要说明的情况</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46A1EE73">
            <w:pPr>
              <w:rPr>
                <w:rFonts w:asciiTheme="minorEastAsia" w:hAnsiTheme="minorEastAsia" w:eastAsiaTheme="minorEastAsia"/>
                <w:color w:val="000000"/>
                <w:szCs w:val="21"/>
                <w:highlight w:val="none"/>
              </w:rPr>
            </w:pPr>
            <w:r>
              <w:rPr>
                <w:rFonts w:hint="eastAsia" w:asciiTheme="minorEastAsia" w:hAnsiTheme="minorEastAsia" w:eastAsiaTheme="minorEastAsia"/>
                <w:highlight w:val="none"/>
              </w:rPr>
              <w:t>无</w:t>
            </w:r>
          </w:p>
        </w:tc>
      </w:tr>
      <w:tr w14:paraId="3070D5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21" w:hRule="atLeast"/>
          <w:jc w:val="center"/>
        </w:trPr>
        <w:tc>
          <w:tcPr>
            <w:tcW w:w="1794" w:type="dxa"/>
            <w:tcBorders>
              <w:top w:val="single" w:color="auto" w:sz="4" w:space="0"/>
              <w:left w:val="single" w:color="auto" w:sz="4" w:space="0"/>
              <w:bottom w:val="single" w:color="auto" w:sz="4" w:space="0"/>
              <w:right w:val="single" w:color="auto" w:sz="4" w:space="0"/>
            </w:tcBorders>
            <w:vAlign w:val="center"/>
          </w:tcPr>
          <w:p w14:paraId="2CEBDC30">
            <w:pPr>
              <w:ind w:left="141" w:leftChars="67" w:right="176" w:rightChars="84"/>
              <w:rPr>
                <w:rFonts w:ascii="宋体" w:hAnsi="宋体"/>
                <w:color w:val="000000"/>
                <w:szCs w:val="21"/>
                <w:highlight w:val="none"/>
              </w:rPr>
            </w:pPr>
            <w:r>
              <w:rPr>
                <w:rFonts w:ascii="宋体" w:hAnsi="宋体"/>
                <w:color w:val="000000"/>
                <w:szCs w:val="21"/>
                <w:highlight w:val="none"/>
              </w:rPr>
              <w:t>6.5 参考文献</w:t>
            </w:r>
          </w:p>
        </w:tc>
        <w:tc>
          <w:tcPr>
            <w:tcW w:w="7831" w:type="dxa"/>
            <w:gridSpan w:val="6"/>
            <w:tcBorders>
              <w:top w:val="single" w:color="auto" w:sz="4" w:space="0"/>
              <w:left w:val="single" w:color="auto" w:sz="4" w:space="0"/>
              <w:bottom w:val="single" w:color="auto" w:sz="4" w:space="0"/>
              <w:right w:val="single" w:color="auto" w:sz="4" w:space="0"/>
            </w:tcBorders>
            <w:vAlign w:val="center"/>
          </w:tcPr>
          <w:p w14:paraId="6E1E24E4">
            <w:pPr>
              <w:rPr>
                <w:color w:val="000000"/>
                <w:szCs w:val="21"/>
                <w:highlight w:val="none"/>
              </w:rPr>
            </w:pPr>
          </w:p>
        </w:tc>
      </w:tr>
      <w:tr w14:paraId="3228CA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1800" w:type="dxa"/>
            <w:gridSpan w:val="2"/>
            <w:tcBorders>
              <w:top w:val="single" w:color="auto" w:sz="4" w:space="0"/>
              <w:left w:val="single" w:color="auto" w:sz="4" w:space="0"/>
              <w:bottom w:val="single" w:color="auto" w:sz="4" w:space="0"/>
              <w:right w:val="single" w:color="auto" w:sz="4" w:space="0"/>
            </w:tcBorders>
            <w:vAlign w:val="center"/>
          </w:tcPr>
          <w:p w14:paraId="6E3B4204">
            <w:pPr>
              <w:jc w:val="center"/>
              <w:rPr>
                <w:rFonts w:ascii="宋体" w:hAnsi="宋体"/>
                <w:color w:val="000000"/>
                <w:szCs w:val="21"/>
                <w:highlight w:val="none"/>
              </w:rPr>
            </w:pPr>
            <w:r>
              <w:rPr>
                <w:rFonts w:ascii="宋体" w:hAnsi="宋体"/>
                <w:color w:val="000000"/>
                <w:szCs w:val="21"/>
                <w:highlight w:val="none"/>
              </w:rPr>
              <w:t>联系人</w:t>
            </w:r>
          </w:p>
        </w:tc>
        <w:tc>
          <w:tcPr>
            <w:tcW w:w="1288" w:type="dxa"/>
            <w:tcBorders>
              <w:top w:val="single" w:color="auto" w:sz="4" w:space="0"/>
              <w:left w:val="single" w:color="auto" w:sz="4" w:space="0"/>
              <w:bottom w:val="single" w:color="auto" w:sz="4" w:space="0"/>
              <w:right w:val="single" w:color="auto" w:sz="4" w:space="0"/>
            </w:tcBorders>
            <w:vAlign w:val="center"/>
          </w:tcPr>
          <w:p w14:paraId="222DAA6A">
            <w:pPr>
              <w:jc w:val="center"/>
              <w:rPr>
                <w:rFonts w:hint="eastAsia" w:ascii="宋体" w:hAnsi="宋体"/>
                <w:color w:val="000000"/>
                <w:szCs w:val="21"/>
                <w:highlight w:val="none"/>
                <w:lang w:eastAsia="zh-CN"/>
              </w:rPr>
            </w:pPr>
            <w:r>
              <w:rPr>
                <w:rFonts w:hint="eastAsia" w:ascii="宋体" w:hAnsi="宋体"/>
                <w:color w:val="000000"/>
                <w:szCs w:val="21"/>
                <w:highlight w:val="none"/>
                <w:lang w:eastAsia="zh-CN"/>
              </w:rPr>
              <w:t>王泽群</w:t>
            </w:r>
          </w:p>
        </w:tc>
        <w:tc>
          <w:tcPr>
            <w:tcW w:w="1080" w:type="dxa"/>
            <w:tcBorders>
              <w:top w:val="single" w:color="auto" w:sz="4" w:space="0"/>
              <w:left w:val="single" w:color="auto" w:sz="4" w:space="0"/>
              <w:bottom w:val="single" w:color="auto" w:sz="4" w:space="0"/>
              <w:right w:val="single" w:color="auto" w:sz="4" w:space="0"/>
            </w:tcBorders>
            <w:vAlign w:val="center"/>
          </w:tcPr>
          <w:p w14:paraId="1EF1360E">
            <w:pPr>
              <w:jc w:val="center"/>
              <w:rPr>
                <w:rFonts w:ascii="宋体" w:hAnsi="宋体"/>
                <w:color w:val="000000"/>
                <w:szCs w:val="21"/>
                <w:highlight w:val="none"/>
              </w:rPr>
            </w:pPr>
            <w:r>
              <w:rPr>
                <w:rFonts w:ascii="宋体" w:hAnsi="宋体"/>
                <w:color w:val="000000"/>
                <w:szCs w:val="21"/>
                <w:highlight w:val="none"/>
              </w:rPr>
              <w:t>联系电话</w:t>
            </w:r>
          </w:p>
        </w:tc>
        <w:tc>
          <w:tcPr>
            <w:tcW w:w="1461" w:type="dxa"/>
            <w:tcBorders>
              <w:top w:val="single" w:color="auto" w:sz="4" w:space="0"/>
              <w:left w:val="single" w:color="auto" w:sz="4" w:space="0"/>
              <w:bottom w:val="single" w:color="auto" w:sz="4" w:space="0"/>
              <w:right w:val="single" w:color="auto" w:sz="4" w:space="0"/>
            </w:tcBorders>
            <w:vAlign w:val="center"/>
          </w:tcPr>
          <w:p w14:paraId="0404DBE6">
            <w:pPr>
              <w:jc w:val="center"/>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18813087098</w:t>
            </w:r>
          </w:p>
        </w:tc>
        <w:tc>
          <w:tcPr>
            <w:tcW w:w="1464" w:type="dxa"/>
            <w:tcBorders>
              <w:top w:val="single" w:color="auto" w:sz="4" w:space="0"/>
              <w:left w:val="single" w:color="auto" w:sz="4" w:space="0"/>
              <w:bottom w:val="single" w:color="auto" w:sz="4" w:space="0"/>
              <w:right w:val="single" w:color="auto" w:sz="4" w:space="0"/>
            </w:tcBorders>
            <w:vAlign w:val="center"/>
          </w:tcPr>
          <w:p w14:paraId="35ECEAE4">
            <w:pPr>
              <w:jc w:val="center"/>
              <w:rPr>
                <w:rFonts w:ascii="宋体" w:hAnsi="宋体"/>
                <w:color w:val="000000"/>
                <w:szCs w:val="21"/>
                <w:highlight w:val="none"/>
              </w:rPr>
            </w:pPr>
            <w:r>
              <w:rPr>
                <w:rFonts w:ascii="宋体" w:hAnsi="宋体"/>
                <w:color w:val="000000"/>
                <w:szCs w:val="21"/>
                <w:highlight w:val="none"/>
              </w:rPr>
              <w:t>电子邮箱</w:t>
            </w:r>
          </w:p>
        </w:tc>
        <w:tc>
          <w:tcPr>
            <w:tcW w:w="2532" w:type="dxa"/>
            <w:tcBorders>
              <w:top w:val="single" w:color="auto" w:sz="4" w:space="0"/>
              <w:left w:val="single" w:color="auto" w:sz="4" w:space="0"/>
              <w:bottom w:val="single" w:color="auto" w:sz="4" w:space="0"/>
              <w:right w:val="single" w:color="auto" w:sz="4" w:space="0"/>
            </w:tcBorders>
            <w:vAlign w:val="center"/>
          </w:tcPr>
          <w:p w14:paraId="7303A566">
            <w:pPr>
              <w:jc w:val="center"/>
              <w:rPr>
                <w:highlight w:val="none"/>
              </w:rPr>
            </w:pPr>
            <w:r>
              <w:rPr>
                <w:rFonts w:hint="eastAsia"/>
                <w:highlight w:val="none"/>
                <w:lang w:val="en-US" w:eastAsia="zh-CN"/>
              </w:rPr>
              <w:t>wangzequn</w:t>
            </w:r>
            <w:r>
              <w:rPr>
                <w:rFonts w:hint="eastAsia"/>
                <w:highlight w:val="none"/>
              </w:rPr>
              <w:t>@mpi1972.com</w:t>
            </w:r>
          </w:p>
        </w:tc>
      </w:tr>
      <w:tr w14:paraId="4CFC0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5" w:hRule="atLeast"/>
          <w:jc w:val="center"/>
        </w:trPr>
        <w:tc>
          <w:tcPr>
            <w:tcW w:w="9625" w:type="dxa"/>
            <w:gridSpan w:val="7"/>
            <w:tcBorders>
              <w:top w:val="single" w:color="auto" w:sz="4" w:space="0"/>
              <w:left w:val="single" w:color="auto" w:sz="4" w:space="0"/>
              <w:bottom w:val="single" w:color="auto" w:sz="4" w:space="0"/>
              <w:right w:val="single" w:color="auto" w:sz="4" w:space="0"/>
            </w:tcBorders>
            <w:vAlign w:val="center"/>
          </w:tcPr>
          <w:p w14:paraId="133A31DB">
            <w:pPr>
              <w:adjustRightInd w:val="0"/>
              <w:spacing w:before="60" w:line="360" w:lineRule="auto"/>
              <w:ind w:firstLine="441" w:firstLineChars="210"/>
              <w:rPr>
                <w:rFonts w:ascii="宋体" w:hAnsi="宋体"/>
                <w:color w:val="000000"/>
                <w:szCs w:val="21"/>
                <w:highlight w:val="none"/>
              </w:rPr>
            </w:pPr>
            <w:r>
              <w:rPr>
                <w:rFonts w:ascii="宋体" w:hAnsi="宋体"/>
                <w:color w:val="000000"/>
                <w:szCs w:val="21"/>
                <w:highlight w:val="none"/>
              </w:rPr>
              <w:t>注1：本</w:t>
            </w:r>
            <w:r>
              <w:rPr>
                <w:rFonts w:hint="eastAsia" w:ascii="宋体" w:hAnsi="宋体"/>
                <w:color w:val="000000"/>
                <w:szCs w:val="21"/>
                <w:highlight w:val="none"/>
              </w:rPr>
              <w:t>格式</w:t>
            </w:r>
            <w:r>
              <w:rPr>
                <w:rFonts w:ascii="宋体" w:hAnsi="宋体"/>
                <w:color w:val="000000"/>
                <w:szCs w:val="21"/>
                <w:highlight w:val="none"/>
              </w:rPr>
              <w:t>的</w:t>
            </w:r>
            <w:r>
              <w:rPr>
                <w:rFonts w:hint="eastAsia" w:ascii="宋体" w:hAnsi="宋体"/>
                <w:color w:val="000000"/>
                <w:szCs w:val="21"/>
                <w:highlight w:val="none"/>
              </w:rPr>
              <w:t>通用</w:t>
            </w:r>
            <w:r>
              <w:rPr>
                <w:rFonts w:ascii="宋体" w:hAnsi="宋体"/>
                <w:color w:val="000000"/>
                <w:szCs w:val="21"/>
                <w:highlight w:val="none"/>
              </w:rPr>
              <w:t>部分为第1章、第2章、第4章和第6章。</w:t>
            </w:r>
          </w:p>
          <w:p w14:paraId="6A4870D2">
            <w:pPr>
              <w:adjustRightInd w:val="0"/>
              <w:spacing w:before="60" w:line="360" w:lineRule="auto"/>
              <w:ind w:firstLine="441" w:firstLineChars="210"/>
              <w:rPr>
                <w:rFonts w:ascii="宋体" w:hAnsi="宋体"/>
                <w:color w:val="000000"/>
                <w:szCs w:val="21"/>
                <w:highlight w:val="none"/>
              </w:rPr>
            </w:pPr>
            <w:r>
              <w:rPr>
                <w:rFonts w:ascii="宋体" w:hAnsi="宋体"/>
                <w:color w:val="000000"/>
                <w:szCs w:val="21"/>
                <w:highlight w:val="none"/>
              </w:rPr>
              <w:t>注2：3.4适用于标准草案送审稿，3.5适用于标准草案报批稿，3.6中</w:t>
            </w:r>
            <w:r>
              <w:rPr>
                <w:rFonts w:hint="eastAsia" w:ascii="宋体" w:hAnsi="宋体"/>
                <w:color w:val="000000"/>
                <w:szCs w:val="21"/>
                <w:highlight w:val="none"/>
              </w:rPr>
              <w:t>“</w:t>
            </w:r>
            <w:r>
              <w:rPr>
                <w:rFonts w:ascii="宋体" w:hAnsi="宋体"/>
                <w:color w:val="000000"/>
                <w:szCs w:val="21"/>
                <w:highlight w:val="none"/>
              </w:rPr>
              <w:t>预期的管理目标</w:t>
            </w:r>
            <w:r>
              <w:rPr>
                <w:rFonts w:hint="eastAsia" w:ascii="宋体" w:hAnsi="宋体"/>
                <w:color w:val="000000"/>
                <w:szCs w:val="21"/>
                <w:highlight w:val="none"/>
              </w:rPr>
              <w:t>”</w:t>
            </w:r>
            <w:r>
              <w:rPr>
                <w:rFonts w:ascii="宋体" w:hAnsi="宋体"/>
                <w:color w:val="000000"/>
                <w:szCs w:val="21"/>
                <w:highlight w:val="none"/>
              </w:rPr>
              <w:t>适用于规程类标准，3.6中</w:t>
            </w:r>
            <w:r>
              <w:rPr>
                <w:rFonts w:hint="eastAsia" w:ascii="宋体" w:hAnsi="宋体"/>
                <w:color w:val="000000"/>
                <w:szCs w:val="21"/>
                <w:highlight w:val="none"/>
              </w:rPr>
              <w:t>“</w:t>
            </w:r>
            <w:r>
              <w:rPr>
                <w:rFonts w:ascii="宋体" w:hAnsi="宋体"/>
                <w:color w:val="000000"/>
                <w:szCs w:val="21"/>
                <w:highlight w:val="none"/>
              </w:rPr>
              <w:t>技术指标</w:t>
            </w:r>
            <w:r>
              <w:rPr>
                <w:rFonts w:hint="eastAsia" w:ascii="宋体" w:hAnsi="宋体"/>
                <w:color w:val="000000"/>
                <w:szCs w:val="21"/>
                <w:highlight w:val="none"/>
              </w:rPr>
              <w:t>”</w:t>
            </w:r>
            <w:r>
              <w:rPr>
                <w:rFonts w:ascii="宋体" w:hAnsi="宋体"/>
                <w:color w:val="000000"/>
                <w:szCs w:val="21"/>
                <w:highlight w:val="none"/>
              </w:rPr>
              <w:t>适用于方法类标准，第5章适用于方法类标准编制说明的编写。</w:t>
            </w:r>
          </w:p>
          <w:p w14:paraId="5A319CEF">
            <w:pPr>
              <w:adjustRightInd w:val="0"/>
              <w:spacing w:before="60" w:line="360" w:lineRule="auto"/>
              <w:ind w:firstLine="441" w:firstLineChars="210"/>
              <w:rPr>
                <w:rFonts w:ascii="宋体" w:hAnsi="宋体"/>
                <w:color w:val="000000"/>
                <w:szCs w:val="21"/>
                <w:highlight w:val="none"/>
              </w:rPr>
            </w:pPr>
            <w:r>
              <w:rPr>
                <w:rFonts w:ascii="宋体" w:hAnsi="宋体"/>
                <w:color w:val="000000"/>
                <w:szCs w:val="21"/>
                <w:highlight w:val="none"/>
              </w:rPr>
              <w:t>注3：3.1和第6章为可选项，其余为必填项。</w:t>
            </w:r>
          </w:p>
        </w:tc>
      </w:tr>
    </w:tbl>
    <w:p w14:paraId="090A915F">
      <w:pPr>
        <w:rPr>
          <w:highlight w:val="yellow"/>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仿宋简体">
    <w:altName w:val="方正仿宋_GBK"/>
    <w:panose1 w:val="00000000000000000000"/>
    <w:charset w:val="86"/>
    <w:family w:val="auto"/>
    <w:pitch w:val="default"/>
    <w:sig w:usb0="00000000" w:usb1="00000000" w:usb2="00000010" w:usb3="00000000" w:csb0="00040000" w:csb1="00000000"/>
  </w:font>
  <w:font w:name="方正仿宋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RlMGJiZTY3ZDA1YTE3MjE0NWYzZmUwOGY3M2RiNDUifQ=="/>
  </w:docVars>
  <w:rsids>
    <w:rsidRoot w:val="00172A27"/>
    <w:rsid w:val="00000676"/>
    <w:rsid w:val="00005091"/>
    <w:rsid w:val="00006EAF"/>
    <w:rsid w:val="00012337"/>
    <w:rsid w:val="0001251E"/>
    <w:rsid w:val="00016DFF"/>
    <w:rsid w:val="000223CD"/>
    <w:rsid w:val="000234AE"/>
    <w:rsid w:val="00030D73"/>
    <w:rsid w:val="000362E8"/>
    <w:rsid w:val="0006314C"/>
    <w:rsid w:val="0009471E"/>
    <w:rsid w:val="000A75BD"/>
    <w:rsid w:val="000C26EB"/>
    <w:rsid w:val="000C6988"/>
    <w:rsid w:val="00100E1F"/>
    <w:rsid w:val="001344F6"/>
    <w:rsid w:val="001625ED"/>
    <w:rsid w:val="001633DF"/>
    <w:rsid w:val="00165C3E"/>
    <w:rsid w:val="00167C98"/>
    <w:rsid w:val="00171B74"/>
    <w:rsid w:val="00172A27"/>
    <w:rsid w:val="00173E1B"/>
    <w:rsid w:val="00192DBB"/>
    <w:rsid w:val="00196B69"/>
    <w:rsid w:val="001A0D19"/>
    <w:rsid w:val="001A1827"/>
    <w:rsid w:val="001C203F"/>
    <w:rsid w:val="001C55BC"/>
    <w:rsid w:val="001D1043"/>
    <w:rsid w:val="001E1704"/>
    <w:rsid w:val="001F17D7"/>
    <w:rsid w:val="002108DA"/>
    <w:rsid w:val="002526BA"/>
    <w:rsid w:val="00260B10"/>
    <w:rsid w:val="00266734"/>
    <w:rsid w:val="002677F2"/>
    <w:rsid w:val="002710B9"/>
    <w:rsid w:val="00287A88"/>
    <w:rsid w:val="002A3B26"/>
    <w:rsid w:val="002B73EC"/>
    <w:rsid w:val="002F15CA"/>
    <w:rsid w:val="003136F0"/>
    <w:rsid w:val="003221A5"/>
    <w:rsid w:val="00322384"/>
    <w:rsid w:val="00364DFC"/>
    <w:rsid w:val="003E6538"/>
    <w:rsid w:val="00417875"/>
    <w:rsid w:val="00443354"/>
    <w:rsid w:val="00443AEF"/>
    <w:rsid w:val="00452700"/>
    <w:rsid w:val="00457218"/>
    <w:rsid w:val="004618A2"/>
    <w:rsid w:val="00465750"/>
    <w:rsid w:val="004A6735"/>
    <w:rsid w:val="004C63FB"/>
    <w:rsid w:val="004E37E4"/>
    <w:rsid w:val="005003AA"/>
    <w:rsid w:val="00500B1F"/>
    <w:rsid w:val="00501E7E"/>
    <w:rsid w:val="00506595"/>
    <w:rsid w:val="005413BD"/>
    <w:rsid w:val="00546A3E"/>
    <w:rsid w:val="00555D30"/>
    <w:rsid w:val="00556DC2"/>
    <w:rsid w:val="0056017B"/>
    <w:rsid w:val="005601CF"/>
    <w:rsid w:val="00574DA5"/>
    <w:rsid w:val="00576817"/>
    <w:rsid w:val="005779B9"/>
    <w:rsid w:val="00592D3E"/>
    <w:rsid w:val="00593928"/>
    <w:rsid w:val="005A3E9D"/>
    <w:rsid w:val="005D73D6"/>
    <w:rsid w:val="00602DDC"/>
    <w:rsid w:val="00645C6F"/>
    <w:rsid w:val="00660B7D"/>
    <w:rsid w:val="00662B62"/>
    <w:rsid w:val="006B5015"/>
    <w:rsid w:val="006B6E3B"/>
    <w:rsid w:val="006D7344"/>
    <w:rsid w:val="006F5489"/>
    <w:rsid w:val="00710BA5"/>
    <w:rsid w:val="0072504E"/>
    <w:rsid w:val="00740650"/>
    <w:rsid w:val="00791539"/>
    <w:rsid w:val="007B3BBA"/>
    <w:rsid w:val="007E5870"/>
    <w:rsid w:val="00822F87"/>
    <w:rsid w:val="00832C40"/>
    <w:rsid w:val="008566AD"/>
    <w:rsid w:val="00867200"/>
    <w:rsid w:val="00872AAF"/>
    <w:rsid w:val="008746D6"/>
    <w:rsid w:val="008777D3"/>
    <w:rsid w:val="00884A4F"/>
    <w:rsid w:val="0088734B"/>
    <w:rsid w:val="008A3F97"/>
    <w:rsid w:val="008A7028"/>
    <w:rsid w:val="008B452D"/>
    <w:rsid w:val="008B5117"/>
    <w:rsid w:val="008B6079"/>
    <w:rsid w:val="008C1EB4"/>
    <w:rsid w:val="008C4FF5"/>
    <w:rsid w:val="008E4B05"/>
    <w:rsid w:val="008E5524"/>
    <w:rsid w:val="008F6CAB"/>
    <w:rsid w:val="0090736A"/>
    <w:rsid w:val="00914040"/>
    <w:rsid w:val="00923C3A"/>
    <w:rsid w:val="00930D44"/>
    <w:rsid w:val="00931B26"/>
    <w:rsid w:val="00931BFE"/>
    <w:rsid w:val="00956C44"/>
    <w:rsid w:val="009724C5"/>
    <w:rsid w:val="009A316C"/>
    <w:rsid w:val="009B5748"/>
    <w:rsid w:val="009C595F"/>
    <w:rsid w:val="009D3C6B"/>
    <w:rsid w:val="009E4BEC"/>
    <w:rsid w:val="009F5331"/>
    <w:rsid w:val="00A02881"/>
    <w:rsid w:val="00A0553F"/>
    <w:rsid w:val="00A3439F"/>
    <w:rsid w:val="00A41713"/>
    <w:rsid w:val="00A82E87"/>
    <w:rsid w:val="00A8630F"/>
    <w:rsid w:val="00A86668"/>
    <w:rsid w:val="00A9447A"/>
    <w:rsid w:val="00AB3CCF"/>
    <w:rsid w:val="00AD7328"/>
    <w:rsid w:val="00AE1221"/>
    <w:rsid w:val="00AF2C31"/>
    <w:rsid w:val="00B349C9"/>
    <w:rsid w:val="00B3590D"/>
    <w:rsid w:val="00B3769F"/>
    <w:rsid w:val="00B37B49"/>
    <w:rsid w:val="00B5011A"/>
    <w:rsid w:val="00B563C9"/>
    <w:rsid w:val="00B83E46"/>
    <w:rsid w:val="00B96B2A"/>
    <w:rsid w:val="00BA0722"/>
    <w:rsid w:val="00BE0D0B"/>
    <w:rsid w:val="00BF340E"/>
    <w:rsid w:val="00C3658A"/>
    <w:rsid w:val="00C73165"/>
    <w:rsid w:val="00C80DAE"/>
    <w:rsid w:val="00C91B89"/>
    <w:rsid w:val="00CA2CBF"/>
    <w:rsid w:val="00CA59B0"/>
    <w:rsid w:val="00CF45BA"/>
    <w:rsid w:val="00D0681D"/>
    <w:rsid w:val="00D06958"/>
    <w:rsid w:val="00D16BC9"/>
    <w:rsid w:val="00D26064"/>
    <w:rsid w:val="00D31162"/>
    <w:rsid w:val="00D31658"/>
    <w:rsid w:val="00D37954"/>
    <w:rsid w:val="00D461F2"/>
    <w:rsid w:val="00D530A5"/>
    <w:rsid w:val="00D53BC1"/>
    <w:rsid w:val="00D76CC5"/>
    <w:rsid w:val="00D97818"/>
    <w:rsid w:val="00DA0C5E"/>
    <w:rsid w:val="00DA2D85"/>
    <w:rsid w:val="00DB25F6"/>
    <w:rsid w:val="00DB595B"/>
    <w:rsid w:val="00DC3E91"/>
    <w:rsid w:val="00DD2EBC"/>
    <w:rsid w:val="00DD653F"/>
    <w:rsid w:val="00DD7707"/>
    <w:rsid w:val="00E1527A"/>
    <w:rsid w:val="00E2270D"/>
    <w:rsid w:val="00E2502A"/>
    <w:rsid w:val="00E52907"/>
    <w:rsid w:val="00E5782D"/>
    <w:rsid w:val="00E800D7"/>
    <w:rsid w:val="00E80CCE"/>
    <w:rsid w:val="00EA0F02"/>
    <w:rsid w:val="00EA6D3C"/>
    <w:rsid w:val="00EB6604"/>
    <w:rsid w:val="00F16A84"/>
    <w:rsid w:val="00F2080C"/>
    <w:rsid w:val="00F24841"/>
    <w:rsid w:val="00F3751E"/>
    <w:rsid w:val="00F470DA"/>
    <w:rsid w:val="00F5202E"/>
    <w:rsid w:val="00F66A39"/>
    <w:rsid w:val="00F671DE"/>
    <w:rsid w:val="00F74BAE"/>
    <w:rsid w:val="00FC5D1D"/>
    <w:rsid w:val="00FD2A50"/>
    <w:rsid w:val="00FE3E66"/>
    <w:rsid w:val="00FE4E68"/>
    <w:rsid w:val="00FF0FF7"/>
    <w:rsid w:val="013253F3"/>
    <w:rsid w:val="03502DD4"/>
    <w:rsid w:val="045376E4"/>
    <w:rsid w:val="04B96A4C"/>
    <w:rsid w:val="06383B48"/>
    <w:rsid w:val="0ECF6F66"/>
    <w:rsid w:val="10D6147E"/>
    <w:rsid w:val="129668B1"/>
    <w:rsid w:val="150B0C98"/>
    <w:rsid w:val="187327BD"/>
    <w:rsid w:val="19437BF6"/>
    <w:rsid w:val="19DA208E"/>
    <w:rsid w:val="1A793E66"/>
    <w:rsid w:val="1C4666D2"/>
    <w:rsid w:val="1CCD607E"/>
    <w:rsid w:val="1FBA5176"/>
    <w:rsid w:val="22015C2E"/>
    <w:rsid w:val="22A832C2"/>
    <w:rsid w:val="244B4F6D"/>
    <w:rsid w:val="28C332ED"/>
    <w:rsid w:val="2A3E70CF"/>
    <w:rsid w:val="2B0513A0"/>
    <w:rsid w:val="2B536BAA"/>
    <w:rsid w:val="2D261069"/>
    <w:rsid w:val="2D263B0B"/>
    <w:rsid w:val="2D5002F9"/>
    <w:rsid w:val="2E77248F"/>
    <w:rsid w:val="302E49A9"/>
    <w:rsid w:val="304946AE"/>
    <w:rsid w:val="38576BC1"/>
    <w:rsid w:val="38C57222"/>
    <w:rsid w:val="3EFF5B1A"/>
    <w:rsid w:val="3FB417BE"/>
    <w:rsid w:val="412D11C3"/>
    <w:rsid w:val="48621D83"/>
    <w:rsid w:val="495F62C2"/>
    <w:rsid w:val="51FF6894"/>
    <w:rsid w:val="5A274ADC"/>
    <w:rsid w:val="5DD92690"/>
    <w:rsid w:val="5F380541"/>
    <w:rsid w:val="638F5E95"/>
    <w:rsid w:val="6612673F"/>
    <w:rsid w:val="666D7E19"/>
    <w:rsid w:val="6A3E33C4"/>
    <w:rsid w:val="6AD95A7D"/>
    <w:rsid w:val="6CFA3EBB"/>
    <w:rsid w:val="6D065367"/>
    <w:rsid w:val="6F49AB6F"/>
    <w:rsid w:val="71570DB0"/>
    <w:rsid w:val="73FEF9F2"/>
    <w:rsid w:val="771FB59F"/>
    <w:rsid w:val="77B755B0"/>
    <w:rsid w:val="78540E39"/>
    <w:rsid w:val="7EB37F9F"/>
    <w:rsid w:val="9CFA0A19"/>
    <w:rsid w:val="EFCF85D6"/>
    <w:rsid w:val="F7BF6D34"/>
    <w:rsid w:val="FCFD628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autoRedefine/>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toa heading"/>
    <w:basedOn w:val="1"/>
    <w:next w:val="1"/>
    <w:unhideWhenUsed/>
    <w:qFormat/>
    <w:uiPriority w:val="99"/>
    <w:pPr>
      <w:spacing w:before="120"/>
    </w:pPr>
    <w:rPr>
      <w:rFonts w:ascii="等线 Light" w:hAnsi="等线 Light" w:eastAsia="等线"/>
      <w:sz w:val="24"/>
    </w:rPr>
  </w:style>
  <w:style w:type="paragraph" w:styleId="3">
    <w:name w:val="annotation text"/>
    <w:basedOn w:val="1"/>
    <w:link w:val="14"/>
    <w:autoRedefine/>
    <w:semiHidden/>
    <w:unhideWhenUsed/>
    <w:qFormat/>
    <w:uiPriority w:val="99"/>
    <w:pPr>
      <w:jc w:val="left"/>
    </w:pPr>
    <w:rPr>
      <w:rFonts w:asciiTheme="minorHAnsi" w:hAnsiTheme="minorHAnsi" w:eastAsiaTheme="minorEastAsia" w:cstheme="minorBidi"/>
      <w:szCs w:val="22"/>
    </w:rPr>
  </w:style>
  <w:style w:type="paragraph" w:styleId="4">
    <w:name w:val="footer"/>
    <w:basedOn w:val="1"/>
    <w:link w:val="12"/>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1"/>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7">
    <w:name w:val="Table Grid"/>
    <w:basedOn w:val="6"/>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autoRedefine/>
    <w:unhideWhenUsed/>
    <w:qFormat/>
    <w:uiPriority w:val="99"/>
    <w:rPr>
      <w:color w:val="000000"/>
      <w:u w:val="none"/>
    </w:rPr>
  </w:style>
  <w:style w:type="character" w:styleId="10">
    <w:name w:val="annotation reference"/>
    <w:basedOn w:val="8"/>
    <w:autoRedefine/>
    <w:semiHidden/>
    <w:unhideWhenUsed/>
    <w:qFormat/>
    <w:uiPriority w:val="99"/>
    <w:rPr>
      <w:sz w:val="21"/>
      <w:szCs w:val="21"/>
    </w:rPr>
  </w:style>
  <w:style w:type="character" w:customStyle="1" w:styleId="11">
    <w:name w:val="页眉 字符"/>
    <w:basedOn w:val="8"/>
    <w:link w:val="5"/>
    <w:autoRedefine/>
    <w:qFormat/>
    <w:uiPriority w:val="99"/>
    <w:rPr>
      <w:sz w:val="18"/>
      <w:szCs w:val="18"/>
    </w:rPr>
  </w:style>
  <w:style w:type="character" w:customStyle="1" w:styleId="12">
    <w:name w:val="页脚 字符"/>
    <w:basedOn w:val="8"/>
    <w:link w:val="4"/>
    <w:autoRedefine/>
    <w:qFormat/>
    <w:uiPriority w:val="99"/>
    <w:rPr>
      <w:sz w:val="18"/>
      <w:szCs w:val="18"/>
    </w:rPr>
  </w:style>
  <w:style w:type="paragraph" w:styleId="13">
    <w:name w:val="List Paragraph"/>
    <w:basedOn w:val="1"/>
    <w:autoRedefine/>
    <w:qFormat/>
    <w:uiPriority w:val="34"/>
    <w:pPr>
      <w:ind w:firstLine="420" w:firstLineChars="200"/>
    </w:pPr>
  </w:style>
  <w:style w:type="character" w:customStyle="1" w:styleId="14">
    <w:name w:val="批注文字 字符"/>
    <w:basedOn w:val="8"/>
    <w:link w:val="3"/>
    <w:autoRedefine/>
    <w:semiHidden/>
    <w:qFormat/>
    <w:uiPriority w:val="99"/>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414EDD65-190C-4DB8-89A3-D03F8CF5F7A2}">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4785</Words>
  <Characters>5177</Characters>
  <Lines>48</Lines>
  <Paragraphs>13</Paragraphs>
  <TotalTime>0</TotalTime>
  <ScaleCrop>false</ScaleCrop>
  <LinksUpToDate>false</LinksUpToDate>
  <CharactersWithSpaces>5312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2022-11-18T16:41:00Z</dcterms:created>
  <dc:creator>dujuan</dc:creator>
  <cp:lastModifiedBy>ma yuan</cp:lastModifiedBy>
  <dcterms:modified xsi:type="dcterms:W3CDTF">2026-02-11T08:37:18Z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3646A4E7069D41B88116A7A6E3C6C99D_13</vt:lpwstr>
  </property>
  <property fmtid="{D5CDD505-2E9C-101B-9397-08002B2CF9AE}" pid="4" name="KSOTemplateDocerSaveRecord">
    <vt:lpwstr>eyJoZGlkIjoiODJmZDNmNmZiNjkzMGFiYzI4MGMwNDRjMjBjZDEyZGMiLCJ1c2VySWQiOiIzMzcyOTAwNTkifQ==</vt:lpwstr>
  </property>
</Properties>
</file>