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F7D8DA">
      <w:pPr>
        <w:autoSpaceDE w:val="0"/>
        <w:autoSpaceDN w:val="0"/>
        <w:adjustRightInd w:val="0"/>
        <w:jc w:val="center"/>
        <w:rPr>
          <w:rFonts w:ascii="黑体" w:hAnsi="黑体" w:eastAsia="黑体"/>
          <w:snapToGrid w:val="0"/>
          <w:color w:val="000000"/>
          <w:kern w:val="0"/>
          <w:sz w:val="32"/>
          <w:szCs w:val="32"/>
        </w:rPr>
      </w:pPr>
    </w:p>
    <w:p w14:paraId="3AE2DB02">
      <w:pPr>
        <w:autoSpaceDE w:val="0"/>
        <w:autoSpaceDN w:val="0"/>
        <w:adjustRightInd w:val="0"/>
        <w:jc w:val="center"/>
        <w:rPr>
          <w:rFonts w:ascii="方正仿宋简体" w:eastAsia="方正仿宋简体"/>
          <w:color w:val="000000"/>
          <w:sz w:val="24"/>
          <w:szCs w:val="24"/>
        </w:rPr>
      </w:pPr>
      <w:r>
        <w:rPr>
          <w:rFonts w:hint="eastAsia" w:ascii="方正小标宋简体" w:eastAsia="方正小标宋简体"/>
          <w:sz w:val="32"/>
          <w:szCs w:val="32"/>
          <w:lang w:val="en-US" w:eastAsia="zh-CN"/>
        </w:rPr>
        <w:t>征求意见稿</w:t>
      </w:r>
      <w:r>
        <w:rPr>
          <w:rFonts w:ascii="方正小标宋简体" w:eastAsia="方正小标宋简体"/>
          <w:sz w:val="32"/>
          <w:szCs w:val="32"/>
        </w:rPr>
        <w:t>编制说明</w:t>
      </w:r>
    </w:p>
    <w:tbl>
      <w:tblPr>
        <w:tblStyle w:val="38"/>
        <w:tblpPr w:leftFromText="180" w:rightFromText="180" w:vertAnchor="text" w:horzAnchor="margin" w:tblpXSpec="center" w:tblpY="169"/>
        <w:tblW w:w="9384"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2155"/>
        <w:gridCol w:w="1023"/>
        <w:gridCol w:w="1155"/>
        <w:gridCol w:w="1635"/>
        <w:gridCol w:w="1260"/>
        <w:gridCol w:w="2156"/>
      </w:tblGrid>
      <w:tr w14:paraId="7EA815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68" w:hRule="atLeast"/>
        </w:trPr>
        <w:tc>
          <w:tcPr>
            <w:tcW w:w="9384" w:type="dxa"/>
            <w:gridSpan w:val="6"/>
            <w:tcBorders>
              <w:top w:val="nil"/>
              <w:left w:val="nil"/>
              <w:bottom w:val="nil"/>
              <w:right w:val="nil"/>
            </w:tcBorders>
            <w:vAlign w:val="center"/>
          </w:tcPr>
          <w:p w14:paraId="2BF8B0EC">
            <w:pPr>
              <w:rPr>
                <w:rFonts w:ascii="宋体" w:hAnsi="宋体"/>
                <w:b/>
                <w:color w:val="000000"/>
                <w:szCs w:val="21"/>
              </w:rPr>
            </w:pPr>
            <w:r>
              <w:rPr>
                <w:rFonts w:hint="eastAsia" w:ascii="宋体" w:hAnsi="宋体"/>
                <w:b/>
                <w:color w:val="000000"/>
                <w:szCs w:val="21"/>
              </w:rPr>
              <w:t>1、基本信息</w:t>
            </w:r>
          </w:p>
        </w:tc>
      </w:tr>
      <w:tr w14:paraId="5702BD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68" w:hRule="atLeast"/>
        </w:trPr>
        <w:tc>
          <w:tcPr>
            <w:tcW w:w="2155" w:type="dxa"/>
            <w:vMerge w:val="restart"/>
            <w:tcBorders>
              <w:top w:val="single" w:color="auto" w:sz="4" w:space="0"/>
              <w:left w:val="single" w:color="auto" w:sz="4" w:space="0"/>
              <w:bottom w:val="single" w:color="auto" w:sz="4" w:space="0"/>
              <w:right w:val="single" w:color="auto" w:sz="4" w:space="0"/>
            </w:tcBorders>
            <w:vAlign w:val="center"/>
          </w:tcPr>
          <w:p w14:paraId="11488381">
            <w:pPr>
              <w:ind w:left="141" w:leftChars="67" w:right="176" w:rightChars="84"/>
              <w:rPr>
                <w:rFonts w:ascii="宋体" w:hAnsi="宋体"/>
                <w:color w:val="000000"/>
                <w:szCs w:val="21"/>
              </w:rPr>
            </w:pPr>
            <w:r>
              <w:rPr>
                <w:rFonts w:ascii="宋体" w:hAnsi="宋体"/>
                <w:color w:val="000000"/>
                <w:szCs w:val="21"/>
              </w:rPr>
              <w:t>1.1 标准草案名称</w:t>
            </w:r>
          </w:p>
        </w:tc>
        <w:tc>
          <w:tcPr>
            <w:tcW w:w="1023" w:type="dxa"/>
            <w:tcBorders>
              <w:top w:val="single" w:color="auto" w:sz="4" w:space="0"/>
              <w:left w:val="single" w:color="auto" w:sz="4" w:space="0"/>
              <w:bottom w:val="single" w:color="auto" w:sz="4" w:space="0"/>
              <w:right w:val="single" w:color="auto" w:sz="4" w:space="0"/>
            </w:tcBorders>
            <w:vAlign w:val="center"/>
          </w:tcPr>
          <w:p w14:paraId="25E9A2F0">
            <w:pPr>
              <w:jc w:val="center"/>
              <w:rPr>
                <w:rFonts w:ascii="宋体" w:hAnsi="宋体"/>
                <w:color w:val="000000"/>
                <w:szCs w:val="21"/>
              </w:rPr>
            </w:pPr>
            <w:r>
              <w:rPr>
                <w:rFonts w:ascii="宋体" w:hAnsi="宋体"/>
                <w:color w:val="000000"/>
                <w:szCs w:val="21"/>
              </w:rPr>
              <w:t>中文</w:t>
            </w:r>
          </w:p>
        </w:tc>
        <w:tc>
          <w:tcPr>
            <w:tcW w:w="6206" w:type="dxa"/>
            <w:gridSpan w:val="4"/>
            <w:tcBorders>
              <w:top w:val="single" w:color="auto" w:sz="4" w:space="0"/>
              <w:left w:val="single" w:color="auto" w:sz="4" w:space="0"/>
              <w:bottom w:val="single" w:color="auto" w:sz="4" w:space="0"/>
              <w:right w:val="single" w:color="auto" w:sz="4" w:space="0"/>
            </w:tcBorders>
            <w:vAlign w:val="center"/>
          </w:tcPr>
          <w:p w14:paraId="0F1C9813">
            <w:pPr>
              <w:rPr>
                <w:rFonts w:ascii="宋体" w:hAnsi="宋体"/>
                <w:color w:val="000000"/>
                <w:szCs w:val="21"/>
              </w:rPr>
            </w:pPr>
            <w:r>
              <w:rPr>
                <w:rFonts w:hint="eastAsia" w:ascii="宋体" w:hAnsi="宋体"/>
                <w:color w:val="000000"/>
                <w:szCs w:val="21"/>
              </w:rPr>
              <w:t>消费级无人机检验检测通用要求</w:t>
            </w:r>
          </w:p>
        </w:tc>
      </w:tr>
      <w:tr w14:paraId="61314F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48" w:hRule="atLeast"/>
        </w:trPr>
        <w:tc>
          <w:tcPr>
            <w:tcW w:w="2155" w:type="dxa"/>
            <w:vMerge w:val="continue"/>
            <w:tcBorders>
              <w:top w:val="single" w:color="auto" w:sz="4" w:space="0"/>
              <w:left w:val="single" w:color="auto" w:sz="4" w:space="0"/>
              <w:bottom w:val="single" w:color="auto" w:sz="4" w:space="0"/>
              <w:right w:val="single" w:color="auto" w:sz="4" w:space="0"/>
            </w:tcBorders>
            <w:vAlign w:val="center"/>
          </w:tcPr>
          <w:p w14:paraId="1F3D5A09">
            <w:pPr>
              <w:ind w:left="141" w:leftChars="67" w:right="176" w:rightChars="84"/>
              <w:jc w:val="center"/>
              <w:rPr>
                <w:rFonts w:ascii="宋体" w:hAnsi="宋体"/>
                <w:color w:val="000000"/>
                <w:szCs w:val="21"/>
              </w:rPr>
            </w:pPr>
          </w:p>
        </w:tc>
        <w:tc>
          <w:tcPr>
            <w:tcW w:w="1023" w:type="dxa"/>
            <w:tcBorders>
              <w:top w:val="single" w:color="auto" w:sz="4" w:space="0"/>
              <w:left w:val="single" w:color="auto" w:sz="4" w:space="0"/>
              <w:bottom w:val="single" w:color="auto" w:sz="6" w:space="0"/>
              <w:right w:val="single" w:color="auto" w:sz="4" w:space="0"/>
            </w:tcBorders>
            <w:vAlign w:val="center"/>
          </w:tcPr>
          <w:p w14:paraId="0FB3C771">
            <w:pPr>
              <w:jc w:val="center"/>
              <w:rPr>
                <w:rFonts w:ascii="宋体" w:hAnsi="宋体"/>
                <w:color w:val="000000"/>
                <w:szCs w:val="21"/>
              </w:rPr>
            </w:pPr>
            <w:r>
              <w:rPr>
                <w:rFonts w:ascii="宋体" w:hAnsi="宋体"/>
                <w:color w:val="000000"/>
                <w:szCs w:val="21"/>
              </w:rPr>
              <w:t>英文</w:t>
            </w:r>
          </w:p>
        </w:tc>
        <w:tc>
          <w:tcPr>
            <w:tcW w:w="6206" w:type="dxa"/>
            <w:gridSpan w:val="4"/>
            <w:tcBorders>
              <w:top w:val="single" w:color="auto" w:sz="4" w:space="0"/>
              <w:left w:val="single" w:color="auto" w:sz="4" w:space="0"/>
              <w:bottom w:val="single" w:color="auto" w:sz="4" w:space="0"/>
            </w:tcBorders>
            <w:vAlign w:val="center"/>
          </w:tcPr>
          <w:p w14:paraId="7EF6E80E">
            <w:pPr>
              <w:rPr>
                <w:rFonts w:ascii="宋体" w:hAnsi="宋体"/>
                <w:color w:val="000000"/>
                <w:szCs w:val="21"/>
              </w:rPr>
            </w:pPr>
            <w:r>
              <w:rPr>
                <w:rFonts w:hint="eastAsia" w:ascii="宋体" w:hAnsi="宋体"/>
                <w:color w:val="000000"/>
                <w:szCs w:val="21"/>
              </w:rPr>
              <w:t>General Requirements for Inspection and Testing of Consumer-grade Drones</w:t>
            </w:r>
          </w:p>
        </w:tc>
      </w:tr>
      <w:tr w14:paraId="4427D5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03" w:hRule="atLeast"/>
        </w:trPr>
        <w:tc>
          <w:tcPr>
            <w:tcW w:w="2155" w:type="dxa"/>
            <w:vMerge w:val="restart"/>
            <w:tcBorders>
              <w:right w:val="single" w:color="auto" w:sz="4" w:space="0"/>
            </w:tcBorders>
            <w:vAlign w:val="center"/>
          </w:tcPr>
          <w:p w14:paraId="3BB684ED">
            <w:pPr>
              <w:ind w:left="141" w:leftChars="67" w:right="176" w:rightChars="84"/>
              <w:rPr>
                <w:rFonts w:ascii="宋体" w:hAnsi="宋体"/>
                <w:color w:val="000000"/>
                <w:szCs w:val="21"/>
              </w:rPr>
            </w:pPr>
            <w:r>
              <w:rPr>
                <w:rFonts w:ascii="宋体" w:hAnsi="宋体"/>
                <w:color w:val="000000"/>
                <w:szCs w:val="21"/>
              </w:rPr>
              <w:t>1.2 与国际标准和国外先进标准一致</w:t>
            </w:r>
            <w:r>
              <w:rPr>
                <w:rFonts w:hint="eastAsia" w:ascii="宋体" w:hAnsi="宋体"/>
                <w:color w:val="000000"/>
                <w:szCs w:val="21"/>
              </w:rPr>
              <w:t>性</w:t>
            </w:r>
            <w:r>
              <w:rPr>
                <w:rFonts w:ascii="宋体" w:hAnsi="宋体"/>
                <w:color w:val="000000"/>
                <w:szCs w:val="21"/>
              </w:rPr>
              <w:t>程度情况</w:t>
            </w:r>
          </w:p>
        </w:tc>
        <w:tc>
          <w:tcPr>
            <w:tcW w:w="1023" w:type="dxa"/>
            <w:vMerge w:val="restart"/>
            <w:tcBorders>
              <w:left w:val="single" w:color="auto" w:sz="4" w:space="0"/>
              <w:right w:val="single" w:color="auto" w:sz="4" w:space="0"/>
            </w:tcBorders>
            <w:vAlign w:val="center"/>
          </w:tcPr>
          <w:p w14:paraId="6416584E">
            <w:pPr>
              <w:rPr>
                <w:rFonts w:ascii="宋体" w:hAnsi="宋体"/>
                <w:color w:val="000000"/>
                <w:szCs w:val="21"/>
              </w:rPr>
            </w:pPr>
            <w:r>
              <w:rPr>
                <w:rFonts w:ascii="宋体" w:hAnsi="宋体"/>
                <w:color w:val="000000"/>
                <w:szCs w:val="21"/>
              </w:rPr>
              <w:t>□等同</w:t>
            </w:r>
            <w:r>
              <w:rPr>
                <w:rFonts w:hint="eastAsia" w:ascii="宋体" w:hAnsi="宋体"/>
                <w:color w:val="000000"/>
                <w:szCs w:val="21"/>
              </w:rPr>
              <w:t>采用</w:t>
            </w:r>
          </w:p>
          <w:p w14:paraId="48468ADE">
            <w:pPr>
              <w:rPr>
                <w:rFonts w:ascii="宋体" w:hAnsi="宋体"/>
                <w:color w:val="000000"/>
                <w:szCs w:val="21"/>
              </w:rPr>
            </w:pPr>
            <w:r>
              <w:rPr>
                <w:rFonts w:ascii="宋体" w:hAnsi="宋体"/>
                <w:color w:val="000000"/>
                <w:szCs w:val="21"/>
              </w:rPr>
              <w:t>□修改</w:t>
            </w:r>
            <w:r>
              <w:rPr>
                <w:rFonts w:hint="eastAsia" w:ascii="宋体" w:hAnsi="宋体"/>
                <w:color w:val="000000"/>
                <w:szCs w:val="21"/>
              </w:rPr>
              <w:t>采用</w:t>
            </w:r>
          </w:p>
          <w:p w14:paraId="554A3B04">
            <w:pPr>
              <w:rPr>
                <w:rFonts w:ascii="宋体" w:hAnsi="宋体"/>
                <w:color w:val="000000"/>
                <w:szCs w:val="21"/>
              </w:rPr>
            </w:pPr>
            <w:r>
              <w:rPr>
                <w:rFonts w:ascii="宋体" w:hAnsi="宋体"/>
                <w:color w:val="000000"/>
                <w:szCs w:val="21"/>
              </w:rPr>
              <w:t>□非等效</w:t>
            </w:r>
            <w:r>
              <w:rPr>
                <w:rFonts w:hint="eastAsia" w:ascii="宋体" w:hAnsi="宋体"/>
                <w:color w:val="000000"/>
                <w:szCs w:val="21"/>
              </w:rPr>
              <w:t>采用</w:t>
            </w:r>
          </w:p>
          <w:p w14:paraId="1BC6F686">
            <w:pPr>
              <w:rPr>
                <w:rFonts w:ascii="宋体" w:hAnsi="宋体"/>
                <w:color w:val="000000"/>
                <w:szCs w:val="21"/>
              </w:rPr>
            </w:pPr>
            <w:r>
              <w:rPr>
                <w:rFonts w:hint="eastAsia" w:ascii="宋体" w:hAnsi="宋体"/>
                <w:color w:val="000000"/>
                <w:szCs w:val="21"/>
                <w:lang w:eastAsia="zh-CN"/>
              </w:rPr>
              <w:t>☑</w:t>
            </w:r>
            <w:r>
              <w:rPr>
                <w:rFonts w:hint="eastAsia" w:ascii="宋体" w:hAnsi="宋体"/>
                <w:color w:val="000000"/>
                <w:szCs w:val="21"/>
              </w:rPr>
              <w:t>未采用</w:t>
            </w:r>
          </w:p>
        </w:tc>
        <w:tc>
          <w:tcPr>
            <w:tcW w:w="1155" w:type="dxa"/>
            <w:tcBorders>
              <w:left w:val="single" w:color="auto" w:sz="4" w:space="0"/>
              <w:bottom w:val="single" w:color="auto" w:sz="4" w:space="0"/>
              <w:right w:val="single" w:color="auto" w:sz="4" w:space="0"/>
            </w:tcBorders>
            <w:vAlign w:val="center"/>
          </w:tcPr>
          <w:p w14:paraId="3AEC4600">
            <w:pPr>
              <w:jc w:val="center"/>
              <w:rPr>
                <w:rFonts w:ascii="宋体" w:hAnsi="宋体"/>
                <w:color w:val="000000"/>
                <w:szCs w:val="21"/>
              </w:rPr>
            </w:pPr>
            <w:r>
              <w:rPr>
                <w:rFonts w:ascii="宋体" w:hAnsi="宋体"/>
                <w:color w:val="000000"/>
                <w:szCs w:val="21"/>
              </w:rPr>
              <w:t>标准</w:t>
            </w:r>
            <w:r>
              <w:rPr>
                <w:rFonts w:hint="eastAsia" w:ascii="宋体" w:hAnsi="宋体"/>
                <w:color w:val="000000"/>
                <w:szCs w:val="21"/>
              </w:rPr>
              <w:t>编</w:t>
            </w:r>
            <w:r>
              <w:rPr>
                <w:rFonts w:ascii="宋体" w:hAnsi="宋体"/>
                <w:color w:val="000000"/>
                <w:szCs w:val="21"/>
              </w:rPr>
              <w:t>号</w:t>
            </w:r>
          </w:p>
        </w:tc>
        <w:tc>
          <w:tcPr>
            <w:tcW w:w="5051" w:type="dxa"/>
            <w:gridSpan w:val="3"/>
            <w:tcBorders>
              <w:left w:val="single" w:color="auto" w:sz="4" w:space="0"/>
              <w:bottom w:val="single" w:color="auto" w:sz="4" w:space="0"/>
            </w:tcBorders>
            <w:vAlign w:val="center"/>
          </w:tcPr>
          <w:p w14:paraId="1546473E">
            <w:pPr>
              <w:rPr>
                <w:rFonts w:ascii="宋体" w:hAnsi="宋体"/>
                <w:color w:val="000000"/>
                <w:szCs w:val="21"/>
              </w:rPr>
            </w:pPr>
          </w:p>
        </w:tc>
      </w:tr>
      <w:tr w14:paraId="281BBB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59" w:hRule="atLeast"/>
        </w:trPr>
        <w:tc>
          <w:tcPr>
            <w:tcW w:w="2155" w:type="dxa"/>
            <w:vMerge w:val="continue"/>
            <w:tcBorders>
              <w:right w:val="single" w:color="auto" w:sz="4" w:space="0"/>
            </w:tcBorders>
            <w:vAlign w:val="center"/>
          </w:tcPr>
          <w:p w14:paraId="4742608F">
            <w:pPr>
              <w:ind w:left="141" w:leftChars="67" w:right="176" w:rightChars="84"/>
              <w:jc w:val="center"/>
              <w:rPr>
                <w:rFonts w:ascii="宋体" w:hAnsi="宋体"/>
                <w:color w:val="000000"/>
                <w:szCs w:val="21"/>
              </w:rPr>
            </w:pPr>
          </w:p>
        </w:tc>
        <w:tc>
          <w:tcPr>
            <w:tcW w:w="1023" w:type="dxa"/>
            <w:vMerge w:val="continue"/>
            <w:tcBorders>
              <w:left w:val="single" w:color="auto" w:sz="4" w:space="0"/>
              <w:right w:val="single" w:color="auto" w:sz="4" w:space="0"/>
            </w:tcBorders>
            <w:vAlign w:val="center"/>
          </w:tcPr>
          <w:p w14:paraId="587F192D">
            <w:pPr>
              <w:jc w:val="center"/>
              <w:rPr>
                <w:rFonts w:ascii="宋体" w:hAnsi="宋体"/>
                <w:color w:val="000000"/>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1EF5BB47">
            <w:pPr>
              <w:jc w:val="center"/>
              <w:rPr>
                <w:rFonts w:ascii="宋体" w:hAnsi="宋体"/>
                <w:color w:val="000000"/>
                <w:szCs w:val="21"/>
              </w:rPr>
            </w:pPr>
            <w:r>
              <w:rPr>
                <w:rFonts w:ascii="宋体" w:hAnsi="宋体"/>
                <w:color w:val="000000"/>
                <w:szCs w:val="21"/>
              </w:rPr>
              <w:t>英文名称</w:t>
            </w:r>
          </w:p>
        </w:tc>
        <w:tc>
          <w:tcPr>
            <w:tcW w:w="5051" w:type="dxa"/>
            <w:gridSpan w:val="3"/>
            <w:tcBorders>
              <w:top w:val="single" w:color="auto" w:sz="4" w:space="0"/>
              <w:left w:val="single" w:color="auto" w:sz="4" w:space="0"/>
              <w:bottom w:val="single" w:color="auto" w:sz="4" w:space="0"/>
            </w:tcBorders>
            <w:vAlign w:val="center"/>
          </w:tcPr>
          <w:p w14:paraId="541E43CC">
            <w:pPr>
              <w:rPr>
                <w:rFonts w:ascii="宋体" w:hAnsi="宋体"/>
                <w:color w:val="000000"/>
                <w:szCs w:val="21"/>
              </w:rPr>
            </w:pPr>
          </w:p>
        </w:tc>
      </w:tr>
      <w:tr w14:paraId="1C0C2F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04" w:hRule="atLeast"/>
        </w:trPr>
        <w:tc>
          <w:tcPr>
            <w:tcW w:w="2155" w:type="dxa"/>
            <w:vMerge w:val="continue"/>
            <w:tcBorders>
              <w:right w:val="single" w:color="auto" w:sz="4" w:space="0"/>
            </w:tcBorders>
            <w:vAlign w:val="center"/>
          </w:tcPr>
          <w:p w14:paraId="4AE203A8">
            <w:pPr>
              <w:ind w:left="141" w:leftChars="67" w:right="176" w:rightChars="84"/>
              <w:jc w:val="center"/>
              <w:rPr>
                <w:rFonts w:ascii="宋体" w:hAnsi="宋体"/>
                <w:color w:val="000000"/>
                <w:szCs w:val="21"/>
              </w:rPr>
            </w:pPr>
          </w:p>
        </w:tc>
        <w:tc>
          <w:tcPr>
            <w:tcW w:w="1023" w:type="dxa"/>
            <w:vMerge w:val="continue"/>
            <w:tcBorders>
              <w:left w:val="single" w:color="auto" w:sz="4" w:space="0"/>
              <w:bottom w:val="single" w:color="auto" w:sz="4" w:space="0"/>
              <w:right w:val="single" w:color="auto" w:sz="4" w:space="0"/>
            </w:tcBorders>
            <w:vAlign w:val="center"/>
          </w:tcPr>
          <w:p w14:paraId="5BB32C41">
            <w:pPr>
              <w:jc w:val="center"/>
              <w:rPr>
                <w:rFonts w:ascii="宋体" w:hAnsi="宋体"/>
                <w:color w:val="000000"/>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03B5ACDB">
            <w:pPr>
              <w:jc w:val="center"/>
              <w:rPr>
                <w:rFonts w:ascii="宋体" w:hAnsi="宋体"/>
                <w:color w:val="000000"/>
                <w:szCs w:val="21"/>
              </w:rPr>
            </w:pPr>
            <w:r>
              <w:rPr>
                <w:rFonts w:ascii="宋体" w:hAnsi="宋体"/>
                <w:color w:val="000000"/>
                <w:szCs w:val="21"/>
              </w:rPr>
              <w:t>中文名称</w:t>
            </w:r>
          </w:p>
        </w:tc>
        <w:tc>
          <w:tcPr>
            <w:tcW w:w="5051" w:type="dxa"/>
            <w:gridSpan w:val="3"/>
            <w:tcBorders>
              <w:top w:val="single" w:color="auto" w:sz="4" w:space="0"/>
              <w:left w:val="single" w:color="auto" w:sz="4" w:space="0"/>
              <w:bottom w:val="single" w:color="auto" w:sz="4" w:space="0"/>
            </w:tcBorders>
            <w:vAlign w:val="center"/>
          </w:tcPr>
          <w:p w14:paraId="6BB50EF8">
            <w:pPr>
              <w:rPr>
                <w:rFonts w:ascii="宋体" w:hAnsi="宋体"/>
                <w:color w:val="000000"/>
                <w:szCs w:val="21"/>
              </w:rPr>
            </w:pPr>
          </w:p>
        </w:tc>
      </w:tr>
      <w:tr w14:paraId="09FEAD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atLeast"/>
        </w:trPr>
        <w:tc>
          <w:tcPr>
            <w:tcW w:w="2155" w:type="dxa"/>
            <w:tcBorders>
              <w:right w:val="single" w:color="auto" w:sz="4" w:space="0"/>
            </w:tcBorders>
            <w:vAlign w:val="center"/>
          </w:tcPr>
          <w:p w14:paraId="1A95F19B">
            <w:pPr>
              <w:ind w:left="141" w:leftChars="67" w:right="176" w:rightChars="84"/>
              <w:rPr>
                <w:rFonts w:ascii="宋体" w:hAnsi="宋体"/>
                <w:color w:val="000000"/>
                <w:szCs w:val="21"/>
              </w:rPr>
            </w:pPr>
            <w:r>
              <w:rPr>
                <w:rFonts w:ascii="宋体" w:hAnsi="宋体"/>
                <w:color w:val="000000"/>
                <w:szCs w:val="21"/>
              </w:rPr>
              <w:t>1.3 任务来源</w:t>
            </w:r>
          </w:p>
        </w:tc>
        <w:tc>
          <w:tcPr>
            <w:tcW w:w="1023" w:type="dxa"/>
            <w:tcBorders>
              <w:left w:val="single" w:color="auto" w:sz="4" w:space="0"/>
              <w:bottom w:val="single" w:color="auto" w:sz="4" w:space="0"/>
              <w:right w:val="single" w:color="auto" w:sz="4" w:space="0"/>
            </w:tcBorders>
            <w:vAlign w:val="center"/>
          </w:tcPr>
          <w:p w14:paraId="05628E7F">
            <w:pPr>
              <w:jc w:val="center"/>
              <w:rPr>
                <w:rFonts w:ascii="宋体" w:hAnsi="宋体"/>
                <w:color w:val="000000"/>
                <w:szCs w:val="21"/>
              </w:rPr>
            </w:pPr>
            <w:r>
              <w:rPr>
                <w:rFonts w:ascii="宋体" w:hAnsi="宋体"/>
                <w:color w:val="000000"/>
                <w:szCs w:val="21"/>
              </w:rPr>
              <w:t>批准立项的文件名称和文件号</w:t>
            </w:r>
          </w:p>
        </w:tc>
        <w:tc>
          <w:tcPr>
            <w:tcW w:w="2790" w:type="dxa"/>
            <w:gridSpan w:val="2"/>
            <w:tcBorders>
              <w:left w:val="single" w:color="auto" w:sz="4" w:space="0"/>
              <w:bottom w:val="single" w:color="auto" w:sz="4" w:space="0"/>
              <w:right w:val="single" w:color="auto" w:sz="4" w:space="0"/>
            </w:tcBorders>
            <w:vAlign w:val="center"/>
          </w:tcPr>
          <w:p w14:paraId="310140AE">
            <w:pPr>
              <w:rPr>
                <w:rFonts w:hint="eastAsia" w:ascii="宋体" w:hAnsi="宋体" w:eastAsia="宋体"/>
                <w:color w:val="000000"/>
                <w:szCs w:val="21"/>
                <w:lang w:eastAsia="zh-CN"/>
              </w:rPr>
            </w:pPr>
            <w:r>
              <w:rPr>
                <w:rFonts w:ascii="宋体" w:hAnsi="宋体"/>
                <w:color w:val="000000"/>
                <w:szCs w:val="21"/>
              </w:rPr>
              <w:t xml:space="preserve">国家认监委关于下达《温室气体管理体系认证 机构认可要求》等 38 </w:t>
            </w:r>
            <w:r>
              <w:rPr>
                <w:rFonts w:hint="default" w:ascii="宋体" w:hAnsi="宋体"/>
                <w:color w:val="000000"/>
                <w:szCs w:val="21"/>
              </w:rPr>
              <w:t>项认证认可行业标准 制修订计划项目的通知</w:t>
            </w:r>
            <w:r>
              <w:rPr>
                <w:rFonts w:hint="eastAsia" w:ascii="宋体" w:hAnsi="宋体"/>
                <w:color w:val="000000"/>
                <w:szCs w:val="21"/>
                <w:lang w:eastAsia="zh-CN"/>
              </w:rPr>
              <w:t>，国认监发〔2025〕5 号</w:t>
            </w:r>
          </w:p>
        </w:tc>
        <w:tc>
          <w:tcPr>
            <w:tcW w:w="1260" w:type="dxa"/>
            <w:tcBorders>
              <w:left w:val="single" w:color="auto" w:sz="4" w:space="0"/>
              <w:bottom w:val="single" w:color="auto" w:sz="4" w:space="0"/>
              <w:right w:val="single" w:color="auto" w:sz="4" w:space="0"/>
            </w:tcBorders>
            <w:vAlign w:val="center"/>
          </w:tcPr>
          <w:p w14:paraId="181B22F0">
            <w:pPr>
              <w:jc w:val="center"/>
              <w:rPr>
                <w:rFonts w:ascii="宋体" w:hAnsi="宋体"/>
                <w:color w:val="000000"/>
                <w:szCs w:val="21"/>
              </w:rPr>
            </w:pPr>
            <w:r>
              <w:rPr>
                <w:rFonts w:ascii="宋体" w:hAnsi="宋体"/>
                <w:color w:val="000000"/>
                <w:szCs w:val="21"/>
              </w:rPr>
              <w:t>计划编号</w:t>
            </w:r>
          </w:p>
        </w:tc>
        <w:tc>
          <w:tcPr>
            <w:tcW w:w="2156" w:type="dxa"/>
            <w:tcBorders>
              <w:left w:val="single" w:color="auto" w:sz="4" w:space="0"/>
              <w:bottom w:val="single" w:color="auto" w:sz="4" w:space="0"/>
            </w:tcBorders>
            <w:vAlign w:val="center"/>
          </w:tcPr>
          <w:p w14:paraId="64180EDA">
            <w:pPr>
              <w:rPr>
                <w:rFonts w:ascii="宋体" w:hAnsi="宋体"/>
                <w:color w:val="000000"/>
                <w:szCs w:val="21"/>
              </w:rPr>
            </w:pPr>
            <w:r>
              <w:rPr>
                <w:rFonts w:ascii="宋体" w:hAnsi="宋体"/>
                <w:color w:val="000000"/>
                <w:szCs w:val="21"/>
              </w:rPr>
              <w:t>2025RB017</w:t>
            </w:r>
          </w:p>
        </w:tc>
      </w:tr>
      <w:tr w14:paraId="6182ED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029" w:hRule="atLeast"/>
        </w:trPr>
        <w:tc>
          <w:tcPr>
            <w:tcW w:w="2155" w:type="dxa"/>
            <w:vAlign w:val="center"/>
          </w:tcPr>
          <w:p w14:paraId="0A5FF97C">
            <w:pPr>
              <w:spacing w:line="360" w:lineRule="exact"/>
              <w:ind w:left="141" w:leftChars="67" w:right="176" w:rightChars="84"/>
              <w:rPr>
                <w:rFonts w:ascii="宋体" w:hAnsi="宋体"/>
                <w:color w:val="000000"/>
                <w:szCs w:val="21"/>
              </w:rPr>
            </w:pPr>
            <w:r>
              <w:rPr>
                <w:rFonts w:hint="eastAsia" w:ascii="宋体" w:hAnsi="宋体"/>
                <w:color w:val="000000"/>
                <w:szCs w:val="21"/>
              </w:rPr>
              <w:t>1.4制（修）订</w:t>
            </w:r>
          </w:p>
        </w:tc>
        <w:tc>
          <w:tcPr>
            <w:tcW w:w="7229" w:type="dxa"/>
            <w:gridSpan w:val="5"/>
            <w:vAlign w:val="center"/>
          </w:tcPr>
          <w:p w14:paraId="1EF2BE80">
            <w:pPr>
              <w:jc w:val="left"/>
              <w:rPr>
                <w:rFonts w:ascii="宋体" w:hAnsi="宋体"/>
                <w:snapToGrid w:val="0"/>
                <w:color w:val="000000"/>
                <w:kern w:val="0"/>
                <w:szCs w:val="21"/>
              </w:rPr>
            </w:pPr>
            <w:r>
              <w:rPr>
                <w:rFonts w:hint="eastAsia" w:ascii="宋体" w:hAnsi="宋体"/>
                <w:snapToGrid w:val="0"/>
                <w:color w:val="000000"/>
                <w:kern w:val="0"/>
                <w:szCs w:val="21"/>
                <w:lang w:eastAsia="zh-CN"/>
              </w:rPr>
              <w:t>☑</w:t>
            </w:r>
            <w:r>
              <w:rPr>
                <w:rFonts w:hint="eastAsia" w:ascii="宋体" w:hAnsi="宋体"/>
                <w:snapToGrid w:val="0"/>
                <w:color w:val="000000"/>
                <w:kern w:val="0"/>
                <w:szCs w:val="21"/>
              </w:rPr>
              <w:t>制定     □修订</w:t>
            </w:r>
            <w:r>
              <w:rPr>
                <w:rFonts w:hint="eastAsia" w:ascii="宋体" w:hAnsi="宋体"/>
                <w:szCs w:val="21"/>
              </w:rPr>
              <w:t>（被修订标准名称及编号：                      ）</w:t>
            </w:r>
          </w:p>
        </w:tc>
      </w:tr>
      <w:tr w14:paraId="68ACE2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5" w:hRule="atLeast"/>
        </w:trPr>
        <w:tc>
          <w:tcPr>
            <w:tcW w:w="2155" w:type="dxa"/>
            <w:vAlign w:val="center"/>
          </w:tcPr>
          <w:p w14:paraId="76E4A9A9">
            <w:pPr>
              <w:ind w:left="141" w:leftChars="67" w:right="176" w:rightChars="84"/>
              <w:rPr>
                <w:rFonts w:ascii="宋体" w:hAnsi="宋体"/>
                <w:color w:val="000000"/>
                <w:szCs w:val="21"/>
              </w:rPr>
            </w:pPr>
            <w:r>
              <w:rPr>
                <w:rFonts w:ascii="宋体" w:hAnsi="宋体"/>
                <w:color w:val="000000"/>
                <w:szCs w:val="21"/>
              </w:rPr>
              <w:t>1.5 起止时间</w:t>
            </w:r>
          </w:p>
        </w:tc>
        <w:tc>
          <w:tcPr>
            <w:tcW w:w="7229" w:type="dxa"/>
            <w:gridSpan w:val="5"/>
            <w:vAlign w:val="center"/>
          </w:tcPr>
          <w:p w14:paraId="3D4DB1DB">
            <w:pPr>
              <w:jc w:val="center"/>
              <w:rPr>
                <w:rFonts w:ascii="宋体" w:hAnsi="宋体"/>
                <w:color w:val="000000"/>
                <w:szCs w:val="21"/>
              </w:rPr>
            </w:pPr>
            <w:r>
              <w:rPr>
                <w:rFonts w:hint="eastAsia" w:ascii="宋体" w:hAnsi="宋体"/>
                <w:color w:val="000000"/>
                <w:szCs w:val="21"/>
                <w:lang w:val="en-US" w:eastAsia="zh-CN"/>
              </w:rPr>
              <w:t>2025</w:t>
            </w:r>
            <w:r>
              <w:rPr>
                <w:rFonts w:ascii="宋体" w:hAnsi="宋体"/>
                <w:color w:val="000000"/>
                <w:szCs w:val="21"/>
              </w:rPr>
              <w:t xml:space="preserve">年    </w:t>
            </w:r>
            <w:r>
              <w:rPr>
                <w:rFonts w:hint="eastAsia" w:ascii="宋体" w:hAnsi="宋体"/>
                <w:color w:val="000000"/>
                <w:szCs w:val="21"/>
                <w:lang w:val="en-US" w:eastAsia="zh-CN"/>
              </w:rPr>
              <w:t>06</w:t>
            </w:r>
            <w:r>
              <w:rPr>
                <w:rFonts w:ascii="宋体" w:hAnsi="宋体"/>
                <w:color w:val="000000"/>
                <w:szCs w:val="21"/>
              </w:rPr>
              <w:t xml:space="preserve">月---    </w:t>
            </w:r>
            <w:r>
              <w:rPr>
                <w:rFonts w:hint="eastAsia" w:ascii="宋体" w:hAnsi="宋体"/>
                <w:color w:val="000000"/>
                <w:szCs w:val="21"/>
                <w:lang w:val="en-US" w:eastAsia="zh-CN"/>
              </w:rPr>
              <w:t>2026</w:t>
            </w:r>
            <w:r>
              <w:rPr>
                <w:rFonts w:ascii="宋体" w:hAnsi="宋体"/>
                <w:color w:val="000000"/>
                <w:szCs w:val="21"/>
              </w:rPr>
              <w:t xml:space="preserve">年   </w:t>
            </w:r>
            <w:r>
              <w:rPr>
                <w:rFonts w:hint="eastAsia" w:ascii="宋体" w:hAnsi="宋体"/>
                <w:color w:val="000000"/>
                <w:szCs w:val="21"/>
                <w:lang w:val="en-US" w:eastAsia="zh-CN"/>
              </w:rPr>
              <w:t>12</w:t>
            </w:r>
            <w:bookmarkStart w:id="0" w:name="_GoBack"/>
            <w:bookmarkEnd w:id="0"/>
            <w:r>
              <w:rPr>
                <w:rFonts w:ascii="宋体" w:hAnsi="宋体"/>
                <w:color w:val="000000"/>
                <w:szCs w:val="21"/>
              </w:rPr>
              <w:t>月</w:t>
            </w:r>
          </w:p>
        </w:tc>
      </w:tr>
      <w:tr w14:paraId="586E2B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86" w:hRule="atLeast"/>
        </w:trPr>
        <w:tc>
          <w:tcPr>
            <w:tcW w:w="2155" w:type="dxa"/>
            <w:vAlign w:val="center"/>
          </w:tcPr>
          <w:p w14:paraId="4B8C17B7">
            <w:pPr>
              <w:ind w:left="141" w:leftChars="67" w:right="176" w:rightChars="84"/>
              <w:rPr>
                <w:rFonts w:ascii="宋体" w:hAnsi="宋体"/>
                <w:color w:val="000000"/>
                <w:szCs w:val="21"/>
              </w:rPr>
            </w:pPr>
            <w:r>
              <w:rPr>
                <w:rFonts w:ascii="宋体" w:hAnsi="宋体"/>
                <w:color w:val="000000"/>
                <w:szCs w:val="21"/>
              </w:rPr>
              <w:t xml:space="preserve">1.6 </w:t>
            </w:r>
            <w:r>
              <w:rPr>
                <w:rFonts w:hint="eastAsia" w:ascii="宋体" w:hAnsi="宋体"/>
                <w:color w:val="000000"/>
                <w:szCs w:val="21"/>
              </w:rPr>
              <w:t>标准起草</w:t>
            </w:r>
            <w:r>
              <w:rPr>
                <w:rFonts w:ascii="宋体" w:hAnsi="宋体"/>
                <w:color w:val="000000"/>
                <w:szCs w:val="21"/>
              </w:rPr>
              <w:t>单位</w:t>
            </w:r>
          </w:p>
        </w:tc>
        <w:tc>
          <w:tcPr>
            <w:tcW w:w="7229" w:type="dxa"/>
            <w:gridSpan w:val="5"/>
            <w:vAlign w:val="center"/>
          </w:tcPr>
          <w:p w14:paraId="6B5F5903">
            <w:pPr>
              <w:rPr>
                <w:rFonts w:ascii="宋体" w:hAnsi="宋体"/>
                <w:color w:val="000000"/>
                <w:szCs w:val="21"/>
              </w:rPr>
            </w:pPr>
            <w:r>
              <w:rPr>
                <w:rFonts w:hint="eastAsia" w:ascii="宋体" w:hAnsi="宋体"/>
                <w:color w:val="000000"/>
                <w:szCs w:val="21"/>
                <w:lang w:val="en-US" w:eastAsia="zh-CN"/>
              </w:rPr>
              <w:t>紫金山实验室、国家市场监督管理总局认证认可认可技术研究中心、复旦大学、工业和信息化部电子第五研究所、广州赛宝认证中心服务有限公司、中北通信息技术有限公司、北京中城汇标准化技术院、公安部第三研究所、北京市产品质量监督检验研究院、江苏省产品质量监督检验研究院、昆明理工大学</w:t>
            </w:r>
          </w:p>
        </w:tc>
      </w:tr>
      <w:tr w14:paraId="42597E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837" w:hRule="atLeast"/>
        </w:trPr>
        <w:tc>
          <w:tcPr>
            <w:tcW w:w="2155" w:type="dxa"/>
            <w:vAlign w:val="center"/>
          </w:tcPr>
          <w:p w14:paraId="158B8871">
            <w:pPr>
              <w:ind w:left="141" w:leftChars="67" w:right="176" w:rightChars="84"/>
              <w:rPr>
                <w:rFonts w:ascii="宋体" w:hAnsi="宋体"/>
                <w:color w:val="000000"/>
                <w:szCs w:val="21"/>
              </w:rPr>
            </w:pPr>
            <w:r>
              <w:rPr>
                <w:rFonts w:ascii="宋体" w:hAnsi="宋体"/>
                <w:color w:val="000000"/>
                <w:szCs w:val="21"/>
              </w:rPr>
              <w:t>1.7 起草</w:t>
            </w:r>
            <w:r>
              <w:rPr>
                <w:rFonts w:hint="eastAsia" w:ascii="宋体" w:hAnsi="宋体"/>
                <w:color w:val="000000"/>
                <w:szCs w:val="21"/>
              </w:rPr>
              <w:t>组成员</w:t>
            </w:r>
          </w:p>
        </w:tc>
        <w:tc>
          <w:tcPr>
            <w:tcW w:w="7229" w:type="dxa"/>
            <w:gridSpan w:val="5"/>
            <w:vAlign w:val="center"/>
          </w:tcPr>
          <w:p w14:paraId="24FE1432">
            <w:pPr>
              <w:rPr>
                <w:rFonts w:hint="eastAsia" w:ascii="宋体" w:hAnsi="宋体" w:eastAsia="宋体"/>
                <w:color w:val="000000"/>
                <w:szCs w:val="21"/>
                <w:lang w:eastAsia="zh-CN"/>
              </w:rPr>
            </w:pPr>
            <w:r>
              <w:rPr>
                <w:rFonts w:hint="eastAsia" w:ascii="宋体" w:hAnsi="宋体"/>
                <w:color w:val="000000"/>
                <w:szCs w:val="21"/>
              </w:rPr>
              <w:t>张帆</w:t>
            </w:r>
            <w:r>
              <w:rPr>
                <w:rFonts w:hint="eastAsia" w:ascii="宋体" w:hAnsi="宋体"/>
                <w:color w:val="000000"/>
                <w:szCs w:val="21"/>
                <w:lang w:eastAsia="zh-CN"/>
              </w:rPr>
              <w:t>、</w:t>
            </w:r>
            <w:r>
              <w:rPr>
                <w:rFonts w:hint="eastAsia" w:ascii="宋体" w:hAnsi="宋体"/>
                <w:color w:val="000000"/>
                <w:szCs w:val="21"/>
              </w:rPr>
              <w:t>蒋继乐</w:t>
            </w:r>
            <w:r>
              <w:rPr>
                <w:rFonts w:hint="eastAsia" w:ascii="宋体" w:hAnsi="宋体"/>
                <w:color w:val="000000"/>
                <w:szCs w:val="21"/>
                <w:lang w:eastAsia="zh-CN"/>
              </w:rPr>
              <w:t>、</w:t>
            </w:r>
            <w:r>
              <w:rPr>
                <w:rFonts w:hint="eastAsia" w:ascii="宋体" w:hAnsi="宋体"/>
                <w:color w:val="000000"/>
                <w:szCs w:val="21"/>
              </w:rPr>
              <w:t>费艳</w:t>
            </w:r>
            <w:r>
              <w:rPr>
                <w:rFonts w:hint="eastAsia" w:ascii="宋体" w:hAnsi="宋体"/>
                <w:color w:val="000000"/>
                <w:szCs w:val="21"/>
                <w:lang w:eastAsia="zh-CN"/>
              </w:rPr>
              <w:t>、</w:t>
            </w:r>
            <w:r>
              <w:rPr>
                <w:rFonts w:hint="eastAsia" w:ascii="宋体" w:hAnsi="宋体"/>
                <w:color w:val="000000"/>
                <w:szCs w:val="21"/>
              </w:rPr>
              <w:t>李莉</w:t>
            </w:r>
            <w:r>
              <w:rPr>
                <w:rFonts w:hint="eastAsia" w:ascii="宋体" w:hAnsi="宋体"/>
                <w:color w:val="000000"/>
                <w:szCs w:val="21"/>
                <w:lang w:eastAsia="zh-CN"/>
              </w:rPr>
              <w:t>、</w:t>
            </w:r>
            <w:r>
              <w:rPr>
                <w:rFonts w:hint="eastAsia" w:ascii="宋体" w:hAnsi="宋体"/>
                <w:color w:val="000000"/>
                <w:szCs w:val="21"/>
              </w:rPr>
              <w:t>王茂华</w:t>
            </w:r>
            <w:r>
              <w:rPr>
                <w:rFonts w:hint="eastAsia" w:ascii="宋体" w:hAnsi="宋体"/>
                <w:color w:val="000000"/>
                <w:szCs w:val="21"/>
                <w:lang w:eastAsia="zh-CN"/>
              </w:rPr>
              <w:t>、</w:t>
            </w:r>
            <w:r>
              <w:rPr>
                <w:rFonts w:hint="eastAsia" w:ascii="宋体" w:hAnsi="宋体"/>
                <w:color w:val="000000"/>
                <w:szCs w:val="21"/>
              </w:rPr>
              <w:t>吴海文</w:t>
            </w:r>
            <w:r>
              <w:rPr>
                <w:rFonts w:hint="eastAsia" w:ascii="宋体" w:hAnsi="宋体"/>
                <w:color w:val="000000"/>
                <w:szCs w:val="21"/>
                <w:lang w:eastAsia="zh-CN"/>
              </w:rPr>
              <w:t>、</w:t>
            </w:r>
            <w:r>
              <w:rPr>
                <w:rFonts w:hint="eastAsia" w:ascii="宋体" w:hAnsi="宋体"/>
                <w:color w:val="000000"/>
                <w:szCs w:val="21"/>
              </w:rPr>
              <w:t>刘少勋</w:t>
            </w:r>
            <w:r>
              <w:rPr>
                <w:rFonts w:hint="eastAsia" w:ascii="宋体" w:hAnsi="宋体"/>
                <w:color w:val="000000"/>
                <w:szCs w:val="21"/>
                <w:lang w:eastAsia="zh-CN"/>
              </w:rPr>
              <w:t>、</w:t>
            </w:r>
            <w:r>
              <w:rPr>
                <w:rFonts w:hint="eastAsia" w:ascii="宋体" w:hAnsi="宋体"/>
                <w:color w:val="000000"/>
                <w:szCs w:val="21"/>
              </w:rPr>
              <w:t>杨梅樾</w:t>
            </w:r>
            <w:r>
              <w:rPr>
                <w:rFonts w:hint="eastAsia" w:ascii="宋体" w:hAnsi="宋体"/>
                <w:color w:val="000000"/>
                <w:szCs w:val="21"/>
                <w:lang w:eastAsia="zh-CN"/>
              </w:rPr>
              <w:t>、</w:t>
            </w:r>
            <w:r>
              <w:rPr>
                <w:rFonts w:hint="eastAsia" w:ascii="宋体" w:hAnsi="宋体"/>
                <w:color w:val="000000"/>
                <w:szCs w:val="21"/>
              </w:rPr>
              <w:t>张金锋</w:t>
            </w:r>
            <w:r>
              <w:rPr>
                <w:rFonts w:hint="eastAsia" w:ascii="宋体" w:hAnsi="宋体"/>
                <w:color w:val="000000"/>
                <w:szCs w:val="21"/>
                <w:lang w:eastAsia="zh-CN"/>
              </w:rPr>
              <w:t>、</w:t>
            </w:r>
            <w:r>
              <w:rPr>
                <w:rFonts w:hint="eastAsia" w:ascii="宋体" w:hAnsi="宋体"/>
                <w:color w:val="000000"/>
                <w:szCs w:val="21"/>
              </w:rPr>
              <w:t>刘曦</w:t>
            </w:r>
            <w:r>
              <w:rPr>
                <w:rFonts w:hint="eastAsia" w:ascii="宋体" w:hAnsi="宋体"/>
                <w:color w:val="000000"/>
                <w:szCs w:val="21"/>
                <w:lang w:eastAsia="zh-CN"/>
              </w:rPr>
              <w:t>、</w:t>
            </w:r>
            <w:r>
              <w:rPr>
                <w:rFonts w:hint="eastAsia" w:ascii="宋体" w:hAnsi="宋体"/>
                <w:color w:val="000000"/>
                <w:szCs w:val="21"/>
              </w:rPr>
              <w:t>张跃中</w:t>
            </w:r>
            <w:r>
              <w:rPr>
                <w:rFonts w:hint="eastAsia" w:ascii="宋体" w:hAnsi="宋体"/>
                <w:color w:val="000000"/>
                <w:szCs w:val="21"/>
                <w:lang w:eastAsia="zh-CN"/>
              </w:rPr>
              <w:t>、</w:t>
            </w:r>
            <w:r>
              <w:rPr>
                <w:rFonts w:hint="eastAsia" w:ascii="宋体" w:hAnsi="宋体"/>
                <w:color w:val="000000"/>
                <w:szCs w:val="21"/>
              </w:rPr>
              <w:t>郭天慧</w:t>
            </w:r>
            <w:r>
              <w:rPr>
                <w:rFonts w:hint="eastAsia" w:ascii="宋体" w:hAnsi="宋体"/>
                <w:color w:val="000000"/>
                <w:szCs w:val="21"/>
                <w:lang w:eastAsia="zh-CN"/>
              </w:rPr>
              <w:t>、</w:t>
            </w:r>
            <w:r>
              <w:rPr>
                <w:rFonts w:hint="eastAsia" w:ascii="宋体" w:hAnsi="宋体"/>
                <w:color w:val="000000"/>
                <w:szCs w:val="21"/>
              </w:rPr>
              <w:t>张与鹏</w:t>
            </w:r>
            <w:r>
              <w:rPr>
                <w:rFonts w:hint="eastAsia" w:ascii="宋体" w:hAnsi="宋体"/>
                <w:color w:val="000000"/>
                <w:szCs w:val="21"/>
                <w:lang w:eastAsia="zh-CN"/>
              </w:rPr>
              <w:t>、</w:t>
            </w:r>
            <w:r>
              <w:rPr>
                <w:rFonts w:hint="eastAsia" w:ascii="宋体" w:hAnsi="宋体"/>
                <w:color w:val="000000"/>
                <w:szCs w:val="21"/>
              </w:rPr>
              <w:t>王世宇</w:t>
            </w:r>
            <w:r>
              <w:rPr>
                <w:rFonts w:hint="eastAsia" w:ascii="宋体" w:hAnsi="宋体"/>
                <w:color w:val="000000"/>
                <w:szCs w:val="21"/>
                <w:lang w:eastAsia="zh-CN"/>
              </w:rPr>
              <w:t>、</w:t>
            </w:r>
            <w:r>
              <w:rPr>
                <w:rFonts w:hint="eastAsia" w:ascii="宋体" w:hAnsi="宋体"/>
                <w:color w:val="000000"/>
                <w:szCs w:val="21"/>
              </w:rPr>
              <w:t>陈昊阳</w:t>
            </w:r>
            <w:r>
              <w:rPr>
                <w:rFonts w:hint="eastAsia" w:ascii="宋体" w:hAnsi="宋体"/>
                <w:color w:val="000000"/>
                <w:szCs w:val="21"/>
                <w:lang w:eastAsia="zh-CN"/>
              </w:rPr>
              <w:t>、</w:t>
            </w:r>
            <w:r>
              <w:rPr>
                <w:rFonts w:hint="eastAsia" w:ascii="宋体" w:hAnsi="宋体"/>
                <w:color w:val="000000"/>
                <w:szCs w:val="21"/>
                <w:lang w:val="en-US" w:eastAsia="zh-CN"/>
              </w:rPr>
              <w:t>洪媛、</w:t>
            </w:r>
            <w:r>
              <w:rPr>
                <w:rFonts w:hint="eastAsia" w:ascii="宋体" w:hAnsi="宋体"/>
                <w:color w:val="000000"/>
                <w:szCs w:val="21"/>
                <w:lang w:eastAsia="zh-CN"/>
              </w:rPr>
              <w:t>曹伟、孙明乾、刘超、</w:t>
            </w:r>
            <w:r>
              <w:rPr>
                <w:rFonts w:hint="eastAsia" w:ascii="宋体" w:hAnsi="宋体"/>
                <w:color w:val="000000"/>
                <w:szCs w:val="21"/>
              </w:rPr>
              <w:t>岳岩</w:t>
            </w:r>
            <w:r>
              <w:rPr>
                <w:rFonts w:hint="eastAsia" w:ascii="宋体" w:hAnsi="宋体"/>
                <w:color w:val="000000"/>
                <w:szCs w:val="21"/>
                <w:lang w:eastAsia="zh-CN"/>
              </w:rPr>
              <w:t>、</w:t>
            </w:r>
            <w:r>
              <w:rPr>
                <w:rFonts w:hint="eastAsia" w:ascii="宋体" w:hAnsi="宋体"/>
                <w:color w:val="000000"/>
                <w:szCs w:val="21"/>
              </w:rPr>
              <w:t>王若冰</w:t>
            </w:r>
            <w:r>
              <w:rPr>
                <w:rFonts w:hint="eastAsia" w:ascii="宋体" w:hAnsi="宋体"/>
                <w:color w:val="000000"/>
                <w:szCs w:val="21"/>
                <w:lang w:eastAsia="zh-CN"/>
              </w:rPr>
              <w:t>、</w:t>
            </w:r>
            <w:r>
              <w:rPr>
                <w:rFonts w:hint="eastAsia" w:ascii="宋体" w:hAnsi="宋体"/>
                <w:color w:val="000000"/>
                <w:szCs w:val="21"/>
              </w:rPr>
              <w:t>张德保</w:t>
            </w:r>
            <w:r>
              <w:rPr>
                <w:rFonts w:hint="eastAsia" w:ascii="宋体" w:hAnsi="宋体"/>
                <w:color w:val="000000"/>
                <w:szCs w:val="21"/>
                <w:lang w:eastAsia="zh-CN"/>
              </w:rPr>
              <w:t>、</w:t>
            </w:r>
            <w:r>
              <w:rPr>
                <w:rFonts w:hint="eastAsia" w:ascii="宋体" w:hAnsi="宋体"/>
                <w:color w:val="000000"/>
                <w:szCs w:val="21"/>
              </w:rPr>
              <w:t>李龙岩</w:t>
            </w:r>
            <w:r>
              <w:rPr>
                <w:rFonts w:hint="eastAsia" w:ascii="宋体" w:hAnsi="宋体"/>
                <w:color w:val="000000"/>
                <w:szCs w:val="21"/>
                <w:lang w:eastAsia="zh-CN"/>
              </w:rPr>
              <w:t>、</w:t>
            </w:r>
            <w:r>
              <w:rPr>
                <w:rFonts w:hint="eastAsia" w:ascii="宋体" w:hAnsi="宋体"/>
                <w:color w:val="000000"/>
                <w:szCs w:val="21"/>
              </w:rPr>
              <w:t>王新亮</w:t>
            </w:r>
            <w:r>
              <w:rPr>
                <w:rFonts w:hint="eastAsia" w:ascii="宋体" w:hAnsi="宋体"/>
                <w:color w:val="000000"/>
                <w:szCs w:val="21"/>
                <w:lang w:eastAsia="zh-CN"/>
              </w:rPr>
              <w:t>、俞少华、刘佳磊、杨佳举、张雷、翟宏宝、杨严杰、李皓、张家斌、王伟锞、韩东亚、李心怡子、王青旺</w:t>
            </w:r>
          </w:p>
        </w:tc>
      </w:tr>
      <w:tr w14:paraId="1D63BE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264" w:hRule="exact"/>
        </w:trPr>
        <w:tc>
          <w:tcPr>
            <w:tcW w:w="2155" w:type="dxa"/>
            <w:tcBorders>
              <w:bottom w:val="single" w:color="auto" w:sz="4" w:space="0"/>
            </w:tcBorders>
            <w:vAlign w:val="center"/>
          </w:tcPr>
          <w:p w14:paraId="7E44D7C3">
            <w:pPr>
              <w:ind w:left="141" w:leftChars="67" w:right="176" w:rightChars="84"/>
              <w:rPr>
                <w:rFonts w:ascii="宋体" w:hAnsi="宋体"/>
                <w:color w:val="000000"/>
                <w:szCs w:val="21"/>
              </w:rPr>
            </w:pPr>
            <w:r>
              <w:rPr>
                <w:rFonts w:ascii="宋体" w:hAnsi="宋体"/>
                <w:color w:val="000000"/>
                <w:szCs w:val="21"/>
              </w:rPr>
              <w:t>1.</w:t>
            </w:r>
            <w:r>
              <w:rPr>
                <w:rFonts w:hint="eastAsia" w:ascii="宋体" w:hAnsi="宋体"/>
                <w:color w:val="000000"/>
                <w:szCs w:val="21"/>
              </w:rPr>
              <w:t>8标准体系表内编号</w:t>
            </w:r>
          </w:p>
        </w:tc>
        <w:tc>
          <w:tcPr>
            <w:tcW w:w="7229" w:type="dxa"/>
            <w:gridSpan w:val="5"/>
            <w:tcBorders>
              <w:bottom w:val="single" w:color="auto" w:sz="4" w:space="0"/>
            </w:tcBorders>
            <w:vAlign w:val="center"/>
          </w:tcPr>
          <w:p w14:paraId="32165265">
            <w:pPr>
              <w:rPr>
                <w:rFonts w:ascii="宋体" w:hAnsi="宋体"/>
                <w:color w:val="000000"/>
                <w:szCs w:val="21"/>
              </w:rPr>
            </w:pPr>
            <w:r>
              <w:rPr>
                <w:rFonts w:ascii="宋体" w:hAnsi="宋体"/>
                <w:color w:val="000000"/>
                <w:szCs w:val="21"/>
              </w:rPr>
              <w:t>RB1252845</w:t>
            </w:r>
          </w:p>
        </w:tc>
      </w:tr>
      <w:tr w14:paraId="00B926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2859" w:hRule="exact"/>
        </w:trPr>
        <w:tc>
          <w:tcPr>
            <w:tcW w:w="2155" w:type="dxa"/>
            <w:tcBorders>
              <w:top w:val="single" w:color="auto" w:sz="4" w:space="0"/>
              <w:left w:val="single" w:color="auto" w:sz="4" w:space="0"/>
              <w:bottom w:val="single" w:color="auto" w:sz="4" w:space="0"/>
              <w:right w:val="single" w:color="auto" w:sz="4" w:space="0"/>
            </w:tcBorders>
            <w:vAlign w:val="center"/>
          </w:tcPr>
          <w:p w14:paraId="16936ECA">
            <w:pPr>
              <w:ind w:left="141" w:leftChars="67" w:right="176" w:rightChars="84"/>
              <w:rPr>
                <w:rFonts w:ascii="宋体" w:hAnsi="宋体"/>
                <w:color w:val="000000"/>
                <w:szCs w:val="21"/>
              </w:rPr>
            </w:pPr>
            <w:r>
              <w:rPr>
                <w:rFonts w:ascii="宋体" w:hAnsi="宋体"/>
                <w:color w:val="000000"/>
                <w:szCs w:val="21"/>
              </w:rPr>
              <w:t>1.</w:t>
            </w:r>
            <w:r>
              <w:rPr>
                <w:rFonts w:hint="eastAsia" w:ascii="宋体" w:hAnsi="宋体"/>
                <w:color w:val="000000"/>
                <w:szCs w:val="21"/>
              </w:rPr>
              <w:t>9</w:t>
            </w:r>
            <w:r>
              <w:rPr>
                <w:rFonts w:ascii="宋体" w:hAnsi="宋体"/>
                <w:color w:val="000000"/>
                <w:szCs w:val="21"/>
              </w:rPr>
              <w:t>调</w:t>
            </w:r>
            <w:r>
              <w:rPr>
                <w:rFonts w:hint="eastAsia" w:ascii="宋体" w:hAnsi="宋体"/>
                <w:color w:val="000000"/>
                <w:szCs w:val="21"/>
                <w:lang w:val="en-US" w:eastAsia="zh-CN"/>
              </w:rPr>
              <w:t>整</w:t>
            </w:r>
            <w:r>
              <w:rPr>
                <w:rFonts w:ascii="宋体" w:hAnsi="宋体"/>
                <w:color w:val="000000"/>
                <w:szCs w:val="21"/>
              </w:rPr>
              <w:t>情况</w:t>
            </w:r>
          </w:p>
        </w:tc>
        <w:tc>
          <w:tcPr>
            <w:tcW w:w="7229" w:type="dxa"/>
            <w:gridSpan w:val="5"/>
            <w:tcBorders>
              <w:top w:val="single" w:color="auto" w:sz="4" w:space="0"/>
              <w:left w:val="single" w:color="auto" w:sz="4" w:space="0"/>
              <w:bottom w:val="single" w:color="auto" w:sz="4" w:space="0"/>
              <w:right w:val="single" w:color="auto" w:sz="4" w:space="0"/>
            </w:tcBorders>
            <w:vAlign w:val="center"/>
          </w:tcPr>
          <w:p w14:paraId="310DFD3F">
            <w:pPr>
              <w:rPr>
                <w:rFonts w:hint="eastAsia" w:ascii="宋体" w:hAnsi="宋体" w:eastAsia="宋体"/>
                <w:color w:val="000000"/>
                <w:szCs w:val="21"/>
                <w:lang w:val="en-US" w:eastAsia="zh-CN"/>
              </w:rPr>
            </w:pPr>
            <w:r>
              <w:rPr>
                <w:rFonts w:hint="eastAsia" w:ascii="宋体" w:hAnsi="宋体"/>
                <w:color w:val="000000"/>
                <w:szCs w:val="21"/>
                <w:lang w:val="en-US" w:eastAsia="zh-CN"/>
              </w:rPr>
              <w:t>无</w:t>
            </w:r>
          </w:p>
        </w:tc>
      </w:tr>
    </w:tbl>
    <w:p w14:paraId="5A10EE9D">
      <w:pPr>
        <w:rPr>
          <w:rFonts w:eastAsia="仿宋_GB2312"/>
          <w:b/>
          <w:color w:val="000000"/>
          <w:kern w:val="0"/>
          <w:sz w:val="32"/>
        </w:rPr>
      </w:pPr>
    </w:p>
    <w:tbl>
      <w:tblPr>
        <w:tblStyle w:val="38"/>
        <w:tblpPr w:leftFromText="180" w:rightFromText="180" w:vertAnchor="text" w:horzAnchor="margin" w:tblpXSpec="center" w:tblpY="169"/>
        <w:tblW w:w="9384"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794"/>
        <w:gridCol w:w="7590"/>
      </w:tblGrid>
      <w:tr w14:paraId="29F066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85" w:hRule="exact"/>
        </w:trPr>
        <w:tc>
          <w:tcPr>
            <w:tcW w:w="9384" w:type="dxa"/>
            <w:gridSpan w:val="2"/>
            <w:tcBorders>
              <w:top w:val="nil"/>
              <w:left w:val="nil"/>
              <w:bottom w:val="nil"/>
              <w:right w:val="nil"/>
            </w:tcBorders>
            <w:vAlign w:val="center"/>
          </w:tcPr>
          <w:p w14:paraId="569EECD4">
            <w:pPr>
              <w:rPr>
                <w:rFonts w:ascii="宋体" w:hAnsi="宋体"/>
                <w:b/>
                <w:color w:val="000000"/>
                <w:szCs w:val="21"/>
              </w:rPr>
            </w:pPr>
            <w:r>
              <w:rPr>
                <w:rFonts w:hint="eastAsia" w:ascii="宋体" w:hAnsi="宋体"/>
                <w:b/>
                <w:color w:val="000000"/>
                <w:szCs w:val="21"/>
              </w:rPr>
              <w:t>2、背景情况</w:t>
            </w:r>
          </w:p>
        </w:tc>
      </w:tr>
      <w:tr w14:paraId="73A0AD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733" w:hRule="atLeast"/>
        </w:trPr>
        <w:tc>
          <w:tcPr>
            <w:tcW w:w="1794" w:type="dxa"/>
            <w:tcBorders>
              <w:top w:val="single" w:color="auto" w:sz="4" w:space="0"/>
              <w:left w:val="single" w:color="auto" w:sz="4" w:space="0"/>
              <w:right w:val="single" w:color="auto" w:sz="4" w:space="0"/>
            </w:tcBorders>
            <w:vAlign w:val="center"/>
          </w:tcPr>
          <w:p w14:paraId="069DA0EE">
            <w:pPr>
              <w:ind w:left="141" w:leftChars="67" w:right="36" w:rightChars="17"/>
              <w:rPr>
                <w:rFonts w:ascii="宋体" w:hAnsi="宋体"/>
                <w:color w:val="000000"/>
                <w:szCs w:val="21"/>
              </w:rPr>
            </w:pPr>
            <w:r>
              <w:rPr>
                <w:rFonts w:ascii="宋体" w:hAnsi="宋体"/>
                <w:color w:val="000000"/>
                <w:szCs w:val="21"/>
              </w:rPr>
              <w:t>2.1 目的、意义</w:t>
            </w:r>
          </w:p>
          <w:p w14:paraId="683382A8">
            <w:pPr>
              <w:ind w:left="141" w:leftChars="67" w:right="36" w:rightChars="17"/>
              <w:rPr>
                <w:rFonts w:ascii="宋体" w:hAnsi="宋体"/>
                <w:color w:val="000000"/>
                <w:szCs w:val="21"/>
              </w:rPr>
            </w:pPr>
            <w:r>
              <w:rPr>
                <w:rFonts w:hint="eastAsia" w:ascii="宋体" w:hAnsi="宋体"/>
                <w:color w:val="000000"/>
                <w:szCs w:val="21"/>
              </w:rPr>
              <w:t>（工作开展背景及要求）</w:t>
            </w:r>
          </w:p>
        </w:tc>
        <w:tc>
          <w:tcPr>
            <w:tcW w:w="7590" w:type="dxa"/>
            <w:tcBorders>
              <w:top w:val="single" w:color="auto" w:sz="4" w:space="0"/>
              <w:left w:val="single" w:color="auto" w:sz="4" w:space="0"/>
              <w:right w:val="single" w:color="auto" w:sz="4" w:space="0"/>
            </w:tcBorders>
            <w:vAlign w:val="center"/>
          </w:tcPr>
          <w:p w14:paraId="2DF0A61E">
            <w:pPr>
              <w:spacing w:line="360" w:lineRule="exact"/>
              <w:ind w:firstLine="420" w:firstLineChars="200"/>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rPr>
              <w:t>近年来，消费级无人机</w:t>
            </w:r>
            <w:r>
              <w:rPr>
                <w:rFonts w:hint="eastAsia" w:asciiTheme="majorEastAsia" w:hAnsiTheme="majorEastAsia" w:eastAsiaTheme="majorEastAsia" w:cstheme="majorEastAsia"/>
                <w:color w:val="000000"/>
                <w:szCs w:val="21"/>
                <w:lang w:eastAsia="zh-CN"/>
              </w:rPr>
              <w:t>市场快速增长，技术进步迅速</w:t>
            </w:r>
            <w:r>
              <w:rPr>
                <w:rFonts w:hint="eastAsia" w:asciiTheme="majorEastAsia" w:hAnsiTheme="majorEastAsia" w:eastAsiaTheme="majorEastAsia" w:cstheme="majorEastAsia"/>
                <w:color w:val="000000"/>
                <w:szCs w:val="21"/>
              </w:rPr>
              <w:t>。据统计，我国消费级无人机市场中，重量不超过4kg的轻型无人机占比达85%以上</w:t>
            </w:r>
            <w:r>
              <w:rPr>
                <w:rFonts w:hint="eastAsia" w:asciiTheme="majorEastAsia" w:hAnsiTheme="majorEastAsia" w:eastAsiaTheme="majorEastAsia" w:cstheme="majorEastAsia"/>
                <w:color w:val="000000"/>
                <w:szCs w:val="21"/>
                <w:lang w:eastAsia="zh-CN"/>
              </w:rPr>
              <w:t>。</w:t>
            </w:r>
            <w:r>
              <w:rPr>
                <w:rFonts w:hint="eastAsia" w:asciiTheme="majorEastAsia" w:hAnsiTheme="majorEastAsia" w:eastAsiaTheme="majorEastAsia" w:cstheme="majorEastAsia"/>
                <w:color w:val="000000"/>
                <w:szCs w:val="21"/>
              </w:rPr>
              <w:t>产品在便携性、智能化等方面取得了显著进步，有效解决了高空视角获取、复杂环境作业等难题。然而由于缺乏统一的技术标准</w:t>
            </w:r>
            <w:r>
              <w:rPr>
                <w:rFonts w:hint="eastAsia" w:asciiTheme="majorEastAsia" w:hAnsiTheme="majorEastAsia" w:eastAsiaTheme="majorEastAsia" w:cstheme="majorEastAsia"/>
                <w:color w:val="000000"/>
                <w:szCs w:val="21"/>
                <w:lang w:eastAsia="zh-CN"/>
              </w:rPr>
              <w:t>与有效监管</w:t>
            </w:r>
            <w:r>
              <w:rPr>
                <w:rFonts w:hint="eastAsia" w:asciiTheme="majorEastAsia" w:hAnsiTheme="majorEastAsia" w:eastAsiaTheme="majorEastAsia" w:cstheme="majorEastAsia"/>
                <w:color w:val="000000"/>
                <w:szCs w:val="21"/>
              </w:rPr>
              <w:t>，市场上出现了规格不统一、性能指标虚标、安全防护措施参差不齐等问题。不同生产企业设计</w:t>
            </w:r>
            <w:r>
              <w:rPr>
                <w:rFonts w:hint="eastAsia" w:asciiTheme="majorEastAsia" w:hAnsiTheme="majorEastAsia" w:eastAsiaTheme="majorEastAsia" w:cstheme="majorEastAsia"/>
                <w:color w:val="000000"/>
                <w:szCs w:val="21"/>
                <w:lang w:eastAsia="zh-CN"/>
              </w:rPr>
              <w:t>、</w:t>
            </w:r>
            <w:r>
              <w:rPr>
                <w:rFonts w:hint="eastAsia" w:asciiTheme="majorEastAsia" w:hAnsiTheme="majorEastAsia" w:eastAsiaTheme="majorEastAsia" w:cstheme="majorEastAsia"/>
                <w:color w:val="000000"/>
                <w:szCs w:val="21"/>
              </w:rPr>
              <w:t>制造的无人机产品质量良莠不齐，给消费者、公共安全，甚至是国家安全带来隐患。在硬件安全、软件防护、数据加密等新型风险领域，现有检测方法多为定性描述，缺乏量化指标，难以客观评价产品质量，严重影响了行业信息流通和市场秩序。因此，制定消费级无人机标准，旨在规定质量不超过 4kg 的消费级无人机产品的通用检验检测要求，涵盖安全性、性能、电磁兼容性、环境适应性等关键技术指标，为市场准入</w:t>
            </w:r>
            <w:r>
              <w:rPr>
                <w:rFonts w:hint="eastAsia" w:asciiTheme="majorEastAsia" w:hAnsiTheme="majorEastAsia" w:eastAsiaTheme="majorEastAsia" w:cstheme="majorEastAsia"/>
                <w:color w:val="000000"/>
                <w:szCs w:val="21"/>
                <w:lang w:eastAsia="zh-CN"/>
              </w:rPr>
              <w:t>、</w:t>
            </w:r>
            <w:r>
              <w:rPr>
                <w:rFonts w:hint="eastAsia" w:asciiTheme="majorEastAsia" w:hAnsiTheme="majorEastAsia" w:eastAsiaTheme="majorEastAsia" w:cstheme="majorEastAsia"/>
                <w:color w:val="000000"/>
                <w:szCs w:val="21"/>
              </w:rPr>
              <w:t>生产制造、质量监督等环节提供统一的技术依据，以规范行业发展，保障产品质量和安全。</w:t>
            </w:r>
          </w:p>
          <w:p w14:paraId="3D8625F2">
            <w:pPr>
              <w:rPr>
                <w:rFonts w:ascii="宋体" w:hAnsi="宋体"/>
                <w:color w:val="000000"/>
                <w:szCs w:val="21"/>
              </w:rPr>
            </w:pPr>
            <w:r>
              <w:rPr>
                <w:rFonts w:hint="eastAsia" w:asciiTheme="majorEastAsia" w:hAnsiTheme="majorEastAsia" w:eastAsiaTheme="majorEastAsia" w:cstheme="majorEastAsia"/>
                <w:color w:val="000000"/>
                <w:szCs w:val="21"/>
              </w:rPr>
              <w:t>本项目通过建立消费级无人机产品的检测和认证要求，涵盖安全性、性能、电磁兼容性、环境适应性等关键技术</w:t>
            </w:r>
            <w:r>
              <w:rPr>
                <w:rFonts w:hint="eastAsia" w:asciiTheme="majorEastAsia" w:hAnsiTheme="majorEastAsia" w:eastAsiaTheme="majorEastAsia" w:cstheme="majorEastAsia"/>
                <w:color w:val="000000"/>
                <w:szCs w:val="21"/>
                <w:lang w:eastAsia="zh-CN"/>
              </w:rPr>
              <w:t>要求</w:t>
            </w:r>
            <w:r>
              <w:rPr>
                <w:rFonts w:hint="eastAsia" w:asciiTheme="majorEastAsia" w:hAnsiTheme="majorEastAsia" w:eastAsiaTheme="majorEastAsia" w:cstheme="majorEastAsia"/>
                <w:color w:val="000000"/>
                <w:szCs w:val="21"/>
              </w:rPr>
              <w:t>，为市场准入</w:t>
            </w:r>
            <w:r>
              <w:rPr>
                <w:rFonts w:hint="eastAsia" w:asciiTheme="majorEastAsia" w:hAnsiTheme="majorEastAsia" w:eastAsiaTheme="majorEastAsia" w:cstheme="majorEastAsia"/>
                <w:color w:val="000000"/>
                <w:szCs w:val="21"/>
                <w:lang w:eastAsia="zh-CN"/>
              </w:rPr>
              <w:t>、</w:t>
            </w:r>
            <w:r>
              <w:rPr>
                <w:rFonts w:hint="eastAsia" w:asciiTheme="majorEastAsia" w:hAnsiTheme="majorEastAsia" w:eastAsiaTheme="majorEastAsia" w:cstheme="majorEastAsia"/>
                <w:color w:val="000000"/>
                <w:szCs w:val="21"/>
              </w:rPr>
              <w:t>生产制造、质量监督等环节提供统一的技术依据，推进我国消费级无人机产品的质量安全</w:t>
            </w:r>
            <w:r>
              <w:rPr>
                <w:rFonts w:hint="eastAsia" w:asciiTheme="majorEastAsia" w:hAnsiTheme="majorEastAsia" w:eastAsiaTheme="majorEastAsia" w:cstheme="majorEastAsia"/>
                <w:color w:val="000000"/>
                <w:szCs w:val="21"/>
                <w:lang w:eastAsia="zh-CN"/>
              </w:rPr>
              <w:t>提升</w:t>
            </w:r>
            <w:r>
              <w:rPr>
                <w:rFonts w:hint="eastAsia" w:asciiTheme="majorEastAsia" w:hAnsiTheme="majorEastAsia" w:eastAsiaTheme="majorEastAsia" w:cstheme="majorEastAsia"/>
                <w:color w:val="000000"/>
                <w:szCs w:val="21"/>
              </w:rPr>
              <w:t>，规范行业发展。在技术层面，可降低因电池爆炸、失控坠机等安全问题引发的产品安全风险，通过明确的检测项目和方法，确保无人机在硬件安全、性能等方面达到要求，提升产品技术水平和可靠性；市场层面，统一的检测标准能减少企业重复性测试成本，缩短研发周期，同时促进</w:t>
            </w:r>
            <w:r>
              <w:rPr>
                <w:rFonts w:hint="eastAsia" w:asciiTheme="majorEastAsia" w:hAnsiTheme="majorEastAsia" w:eastAsiaTheme="majorEastAsia" w:cstheme="majorEastAsia"/>
                <w:color w:val="000000"/>
                <w:szCs w:val="21"/>
                <w:lang w:eastAsia="zh-CN"/>
              </w:rPr>
              <w:t>建立有序的</w:t>
            </w:r>
            <w:r>
              <w:rPr>
                <w:rFonts w:hint="eastAsia" w:asciiTheme="majorEastAsia" w:hAnsiTheme="majorEastAsia" w:eastAsiaTheme="majorEastAsia" w:cstheme="majorEastAsia"/>
                <w:color w:val="000000"/>
                <w:szCs w:val="21"/>
              </w:rPr>
              <w:t>市场，</w:t>
            </w:r>
            <w:r>
              <w:rPr>
                <w:rFonts w:hint="eastAsia" w:asciiTheme="majorEastAsia" w:hAnsiTheme="majorEastAsia" w:eastAsiaTheme="majorEastAsia" w:cstheme="majorEastAsia"/>
                <w:color w:val="000000"/>
                <w:szCs w:val="21"/>
                <w:lang w:eastAsia="zh-CN"/>
              </w:rPr>
              <w:t>向消费者</w:t>
            </w:r>
            <w:r>
              <w:rPr>
                <w:rFonts w:hint="eastAsia" w:asciiTheme="majorEastAsia" w:hAnsiTheme="majorEastAsia" w:eastAsiaTheme="majorEastAsia" w:cstheme="majorEastAsia"/>
                <w:color w:val="000000"/>
                <w:szCs w:val="21"/>
                <w:lang w:val="en-US" w:eastAsia="zh-CN"/>
              </w:rPr>
              <w:t>明确</w:t>
            </w:r>
            <w:r>
              <w:rPr>
                <w:rFonts w:hint="eastAsia" w:asciiTheme="majorEastAsia" w:hAnsiTheme="majorEastAsia" w:eastAsiaTheme="majorEastAsia" w:cstheme="majorEastAsia"/>
                <w:color w:val="000000"/>
                <w:szCs w:val="21"/>
              </w:rPr>
              <w:t>产品</w:t>
            </w:r>
            <w:r>
              <w:rPr>
                <w:rFonts w:hint="eastAsia" w:asciiTheme="majorEastAsia" w:hAnsiTheme="majorEastAsia" w:eastAsiaTheme="majorEastAsia" w:cstheme="majorEastAsia"/>
                <w:color w:val="000000"/>
                <w:szCs w:val="21"/>
                <w:lang w:eastAsia="zh-CN"/>
              </w:rPr>
              <w:t>信息</w:t>
            </w:r>
            <w:r>
              <w:rPr>
                <w:rFonts w:hint="eastAsia" w:asciiTheme="majorEastAsia" w:hAnsiTheme="majorEastAsia" w:eastAsiaTheme="majorEastAsia" w:cstheme="majorEastAsia"/>
                <w:color w:val="000000"/>
                <w:szCs w:val="21"/>
              </w:rPr>
              <w:t>，推动市场的健康发展；在监管层面</w:t>
            </w:r>
            <w:r>
              <w:rPr>
                <w:rFonts w:hint="eastAsia" w:asciiTheme="majorEastAsia" w:hAnsiTheme="majorEastAsia" w:eastAsiaTheme="majorEastAsia" w:cstheme="majorEastAsia"/>
                <w:color w:val="000000"/>
                <w:szCs w:val="21"/>
                <w:lang w:eastAsia="zh-CN"/>
              </w:rPr>
              <w:t>，</w:t>
            </w:r>
            <w:r>
              <w:rPr>
                <w:rFonts w:hint="eastAsia" w:asciiTheme="majorEastAsia" w:hAnsiTheme="majorEastAsia" w:eastAsiaTheme="majorEastAsia" w:cstheme="majorEastAsia"/>
                <w:color w:val="000000"/>
                <w:szCs w:val="21"/>
              </w:rPr>
              <w:t>为建立无人机产品分级</w:t>
            </w:r>
            <w:r>
              <w:rPr>
                <w:rFonts w:hint="eastAsia" w:asciiTheme="majorEastAsia" w:hAnsiTheme="majorEastAsia" w:eastAsiaTheme="majorEastAsia" w:cstheme="majorEastAsia"/>
                <w:color w:val="000000"/>
                <w:szCs w:val="21"/>
                <w:lang w:eastAsia="zh-CN"/>
              </w:rPr>
              <w:t>、</w:t>
            </w:r>
            <w:r>
              <w:rPr>
                <w:rFonts w:hint="eastAsia" w:asciiTheme="majorEastAsia" w:hAnsiTheme="majorEastAsia" w:eastAsiaTheme="majorEastAsia" w:cstheme="majorEastAsia"/>
                <w:color w:val="000000"/>
                <w:szCs w:val="21"/>
              </w:rPr>
              <w:t>分类管理制度奠定技术基础，使市场监管部门能够更有效地实施产品合规性抽查，推动行业从无序增长向高质量发展转型，助力消费级无人机行业在各应用领域更好地发挥作用，实现可持续发展。</w:t>
            </w:r>
          </w:p>
        </w:tc>
      </w:tr>
      <w:tr w14:paraId="7FD123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276" w:hRule="exact"/>
        </w:trPr>
        <w:tc>
          <w:tcPr>
            <w:tcW w:w="1794" w:type="dxa"/>
            <w:tcBorders>
              <w:top w:val="single" w:color="auto" w:sz="4" w:space="0"/>
              <w:left w:val="single" w:color="auto" w:sz="4" w:space="0"/>
              <w:bottom w:val="single" w:color="auto" w:sz="4" w:space="0"/>
              <w:right w:val="single" w:color="auto" w:sz="4" w:space="0"/>
            </w:tcBorders>
            <w:vAlign w:val="center"/>
          </w:tcPr>
          <w:p w14:paraId="7629EE0F">
            <w:pPr>
              <w:ind w:left="141" w:leftChars="67" w:right="36" w:rightChars="17"/>
              <w:rPr>
                <w:rFonts w:ascii="宋体" w:hAnsi="宋体"/>
                <w:color w:val="000000"/>
                <w:szCs w:val="21"/>
              </w:rPr>
            </w:pPr>
            <w:r>
              <w:rPr>
                <w:rFonts w:ascii="宋体" w:hAnsi="宋体"/>
                <w:color w:val="000000"/>
                <w:szCs w:val="21"/>
              </w:rPr>
              <w:t>2.2 与国内外相关标准、文献的关系</w:t>
            </w:r>
          </w:p>
        </w:tc>
        <w:tc>
          <w:tcPr>
            <w:tcW w:w="7590" w:type="dxa"/>
            <w:tcBorders>
              <w:top w:val="single" w:color="auto" w:sz="4" w:space="0"/>
              <w:left w:val="single" w:color="auto" w:sz="4" w:space="0"/>
              <w:bottom w:val="single" w:color="auto" w:sz="4" w:space="0"/>
              <w:right w:val="single" w:color="auto" w:sz="4" w:space="0"/>
            </w:tcBorders>
            <w:vAlign w:val="center"/>
          </w:tcPr>
          <w:p w14:paraId="7723C1A1">
            <w:pPr>
              <w:spacing w:line="360" w:lineRule="exact"/>
              <w:ind w:firstLine="420" w:firstLineChars="200"/>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国内现状：国内现有无人机标准主要针对各类无人机设备电子围栏划分机制、机身强度、各类温湿度环境等配置领域；针对应用范围最广、潜在用户最多的消费级无人机，尚无专门的软硬件防护、数据安全、标识抽查要求及开展相应测试时相应测试设备的指标要求的国家标准和行业标准。</w:t>
            </w:r>
          </w:p>
          <w:p w14:paraId="484E9B5E">
            <w:pPr>
              <w:spacing w:line="360" w:lineRule="exac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现有与无人机及检验检测相关的标准主要包括：</w:t>
            </w:r>
          </w:p>
          <w:p w14:paraId="65A3C994">
            <w:pPr>
              <w:spacing w:line="360" w:lineRule="exac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《无人驾驶航空器系统术语》GB/T 38152-2019</w:t>
            </w:r>
          </w:p>
          <w:p w14:paraId="37C88BF9">
            <w:pPr>
              <w:spacing w:line="360" w:lineRule="exac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《民用无人驾驶航空器系统分类及分级》（GB/T 35018-2018）</w:t>
            </w:r>
          </w:p>
          <w:p w14:paraId="329CF03C">
            <w:pPr>
              <w:spacing w:line="360" w:lineRule="exac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《民用无人驾驶航空器系统安全要求》GB 42590-2023</w:t>
            </w:r>
          </w:p>
          <w:p w14:paraId="63D3856F">
            <w:pPr>
              <w:spacing w:line="360" w:lineRule="exac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《民用轻小型无人机系统环境试验方法》GB/T 38924-2020</w:t>
            </w:r>
          </w:p>
          <w:p w14:paraId="3531633C">
            <w:pPr>
              <w:spacing w:line="360" w:lineRule="exac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《民用大中型固定翼无人机系统自主能力飞行试验要求》GB/T 44166-2024</w:t>
            </w:r>
          </w:p>
          <w:p w14:paraId="37C992A7">
            <w:pPr>
              <w:spacing w:line="360" w:lineRule="exact"/>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    这些标准与规章主要关注行业内通用术语定义及特定类型在各类环境场景下的试验要求及方法，尚未形成全面的针对消费级无人机检验检测要求。</w:t>
            </w:r>
          </w:p>
          <w:p w14:paraId="03DB957F">
            <w:pPr>
              <w:spacing w:line="360" w:lineRule="exact"/>
              <w:ind w:firstLine="420" w:firstLineChars="200"/>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国外现状：部分国家在特定测试领域有相关认证实践和标准支撑。例如，欧盟、美国针对无人机电磁辐射及抗干扰能力方面约束的标准法规，确保无人机不会对其他电子设备产生有害干扰，同时能在一定的电磁环境中稳定工作（如EN 55035系列、FCC Part 15.247），及国际电信联盟通过ITU - T X.1373标准，规定了无人机中数据安全协议，如加密机制、子密钥分发等，保障无人机在数据传输过程中的安全性。然而，目前国际上未制定全面囊括消费级无人机各领域安全要求及标识监管的行业标准或团体标准。</w:t>
            </w:r>
          </w:p>
          <w:p w14:paraId="56D216F4">
            <w:pPr>
              <w:rPr>
                <w:rFonts w:ascii="宋体" w:hAnsi="宋体"/>
                <w:color w:val="000000"/>
                <w:szCs w:val="21"/>
              </w:rPr>
            </w:pPr>
            <w:r>
              <w:rPr>
                <w:rFonts w:hint="eastAsia" w:asciiTheme="minorEastAsia" w:hAnsiTheme="minorEastAsia" w:eastAsiaTheme="minorEastAsia" w:cstheme="minorEastAsia"/>
                <w:color w:val="000000"/>
                <w:szCs w:val="21"/>
              </w:rPr>
              <w:t>结论：本标准将填补国内外在消费级无人机检验检测标准方面的空白，并为后续相关无人机测试场景及设备评价体系提供对应依据。</w:t>
            </w:r>
          </w:p>
        </w:tc>
      </w:tr>
    </w:tbl>
    <w:p w14:paraId="1541E82E">
      <w:pPr>
        <w:rPr>
          <w:rFonts w:eastAsia="仿宋_GB2312"/>
          <w:b/>
          <w:color w:val="000000"/>
          <w:kern w:val="0"/>
          <w:sz w:val="32"/>
        </w:rPr>
      </w:pPr>
    </w:p>
    <w:tbl>
      <w:tblPr>
        <w:tblStyle w:val="38"/>
        <w:tblpPr w:leftFromText="180" w:rightFromText="180" w:vertAnchor="text" w:horzAnchor="margin" w:tblpXSpec="center" w:tblpY="169"/>
        <w:tblW w:w="962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28" w:type="dxa"/>
          <w:bottom w:w="0" w:type="dxa"/>
          <w:right w:w="28" w:type="dxa"/>
        </w:tblCellMar>
      </w:tblPr>
      <w:tblGrid>
        <w:gridCol w:w="1794"/>
        <w:gridCol w:w="7831"/>
      </w:tblGrid>
      <w:tr w14:paraId="49EEEC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65" w:hRule="exact"/>
        </w:trPr>
        <w:tc>
          <w:tcPr>
            <w:tcW w:w="9625" w:type="dxa"/>
            <w:gridSpan w:val="2"/>
            <w:tcBorders>
              <w:top w:val="nil"/>
              <w:left w:val="nil"/>
              <w:bottom w:val="nil"/>
              <w:right w:val="nil"/>
            </w:tcBorders>
            <w:vAlign w:val="center"/>
          </w:tcPr>
          <w:p w14:paraId="1C74DA7F">
            <w:pPr>
              <w:rPr>
                <w:rFonts w:ascii="宋体" w:hAnsi="宋体"/>
                <w:b/>
                <w:color w:val="000000"/>
                <w:szCs w:val="21"/>
              </w:rPr>
            </w:pPr>
            <w:r>
              <w:rPr>
                <w:rFonts w:hint="eastAsia" w:ascii="宋体" w:hAnsi="宋体"/>
                <w:b/>
                <w:color w:val="000000"/>
                <w:szCs w:val="21"/>
              </w:rPr>
              <w:t>3  编制过程</w:t>
            </w:r>
          </w:p>
        </w:tc>
      </w:tr>
      <w:tr w14:paraId="0832B5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4311" w:hRule="atLeast"/>
        </w:trPr>
        <w:tc>
          <w:tcPr>
            <w:tcW w:w="1794" w:type="dxa"/>
            <w:tcBorders>
              <w:top w:val="single" w:color="auto" w:sz="4" w:space="0"/>
              <w:bottom w:val="single" w:color="auto" w:sz="4" w:space="0"/>
            </w:tcBorders>
            <w:vAlign w:val="center"/>
          </w:tcPr>
          <w:p w14:paraId="6E0492DE">
            <w:pPr>
              <w:ind w:left="141" w:leftChars="67" w:right="176" w:rightChars="84"/>
              <w:rPr>
                <w:rFonts w:ascii="宋体" w:hAnsi="宋体"/>
                <w:color w:val="000000"/>
                <w:szCs w:val="21"/>
              </w:rPr>
            </w:pPr>
            <w:r>
              <w:rPr>
                <w:rFonts w:ascii="宋体" w:hAnsi="宋体"/>
                <w:color w:val="000000"/>
                <w:szCs w:val="21"/>
              </w:rPr>
              <w:t>3.</w:t>
            </w:r>
            <w:r>
              <w:rPr>
                <w:rFonts w:hint="eastAsia" w:ascii="宋体" w:hAnsi="宋体"/>
                <w:color w:val="000000"/>
                <w:szCs w:val="21"/>
              </w:rPr>
              <w:t>1</w:t>
            </w:r>
            <w:r>
              <w:rPr>
                <w:rFonts w:ascii="宋体" w:hAnsi="宋体"/>
                <w:color w:val="000000"/>
                <w:szCs w:val="21"/>
              </w:rPr>
              <w:t xml:space="preserve"> 分工情况</w:t>
            </w:r>
          </w:p>
        </w:tc>
        <w:tc>
          <w:tcPr>
            <w:tcW w:w="7831" w:type="dxa"/>
            <w:tcBorders>
              <w:bottom w:val="single" w:color="auto" w:sz="4" w:space="0"/>
            </w:tcBorders>
            <w:vAlign w:val="center"/>
          </w:tcPr>
          <w:p w14:paraId="039925A8">
            <w:pPr>
              <w:spacing w:line="360" w:lineRule="auto"/>
              <w:rPr>
                <w:rFonts w:hint="default" w:ascii="宋体" w:hAnsi="宋体" w:eastAsia="宋体"/>
                <w:color w:val="000000"/>
                <w:szCs w:val="21"/>
                <w:lang w:val="en-US" w:eastAsia="zh-CN"/>
              </w:rPr>
            </w:pPr>
            <w:r>
              <w:rPr>
                <w:rFonts w:hint="eastAsia" w:ascii="宋体" w:hAnsi="宋体"/>
                <w:color w:val="000000"/>
                <w:szCs w:val="21"/>
                <w:lang w:val="en-US" w:eastAsia="zh-CN"/>
              </w:rPr>
              <w:t>紫金山实验室负责标准总体组织协调、调研分析和修改完善。国家市场监督管理总局认证认可认可技术研究中心、复旦大学、江苏省产品质量监督检验研究院对标准文本提出补充意见。工业和信息化部电子第五研究所、广州赛宝认证中心服务有限公司负责标准通用检测项目、环境适应性试验、检测结果判定规则章节修改完善。中北通信息技术有限公司负责标准通用检测项目章节的修改完善。北京中城汇标准化技术院负责标准术语及规范化完善。公安部第三研究所负责通用检测项目以及检验结果判定规则的完善。北京市产品质量监督检验研究院负责检测设备要求内容的修改完善。昆明理工大学负责抽样方案及周期检验内容的修改完善。</w:t>
            </w:r>
          </w:p>
        </w:tc>
      </w:tr>
      <w:tr w14:paraId="400E0B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2947" w:hRule="atLeast"/>
        </w:trPr>
        <w:tc>
          <w:tcPr>
            <w:tcW w:w="1794" w:type="dxa"/>
            <w:tcBorders>
              <w:top w:val="single" w:color="auto" w:sz="4" w:space="0"/>
              <w:bottom w:val="single" w:color="auto" w:sz="4" w:space="0"/>
            </w:tcBorders>
            <w:vAlign w:val="center"/>
          </w:tcPr>
          <w:p w14:paraId="1C76E48E">
            <w:pPr>
              <w:ind w:left="141" w:leftChars="67" w:right="176" w:rightChars="84"/>
              <w:rPr>
                <w:rFonts w:ascii="宋体" w:hAnsi="宋体"/>
                <w:color w:val="000000"/>
                <w:szCs w:val="21"/>
              </w:rPr>
            </w:pPr>
            <w:r>
              <w:rPr>
                <w:rFonts w:ascii="宋体" w:hAnsi="宋体"/>
                <w:color w:val="000000"/>
                <w:szCs w:val="21"/>
              </w:rPr>
              <w:t>3.</w:t>
            </w:r>
            <w:r>
              <w:rPr>
                <w:rFonts w:hint="eastAsia" w:ascii="宋体" w:hAnsi="宋体"/>
                <w:color w:val="000000"/>
                <w:szCs w:val="21"/>
              </w:rPr>
              <w:t>2起草阶段</w:t>
            </w:r>
          </w:p>
        </w:tc>
        <w:tc>
          <w:tcPr>
            <w:tcW w:w="7831" w:type="dxa"/>
            <w:tcBorders>
              <w:bottom w:val="single" w:color="auto" w:sz="4" w:space="0"/>
            </w:tcBorders>
            <w:vAlign w:val="center"/>
          </w:tcPr>
          <w:p w14:paraId="39E863F6">
            <w:pPr>
              <w:keepNext w:val="0"/>
              <w:keepLines w:val="0"/>
              <w:widowControl/>
              <w:suppressLineNumbers w:val="0"/>
              <w:spacing w:line="360" w:lineRule="auto"/>
              <w:jc w:val="both"/>
              <w:rPr>
                <w:rFonts w:hint="eastAsia" w:ascii="宋体" w:hAnsi="宋体" w:eastAsia="宋体" w:cs="宋体"/>
                <w:color w:val="000000"/>
                <w:kern w:val="0"/>
                <w:sz w:val="21"/>
                <w:szCs w:val="21"/>
                <w:lang w:val="en-US" w:eastAsia="zh-CN" w:bidi="ar"/>
              </w:rPr>
            </w:pPr>
          </w:p>
          <w:p w14:paraId="4B9946FF">
            <w:pPr>
              <w:keepNext w:val="0"/>
              <w:keepLines w:val="0"/>
              <w:widowControl/>
              <w:suppressLineNumbers w:val="0"/>
              <w:spacing w:line="360" w:lineRule="auto"/>
              <w:jc w:val="both"/>
              <w:rPr>
                <w:rFonts w:hint="eastAsia" w:ascii="宋体" w:hAnsi="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通过文献研究、比较研究、专家咨询等方法开展</w:t>
            </w:r>
            <w:r>
              <w:rPr>
                <w:rFonts w:hint="eastAsia" w:ascii="宋体" w:hAnsi="宋体" w:cs="宋体"/>
                <w:color w:val="000000"/>
                <w:kern w:val="0"/>
                <w:sz w:val="21"/>
                <w:szCs w:val="21"/>
                <w:lang w:val="en-US" w:eastAsia="zh-CN" w:bidi="ar"/>
              </w:rPr>
              <w:t>起草</w:t>
            </w:r>
            <w:r>
              <w:rPr>
                <w:rFonts w:hint="eastAsia" w:ascii="宋体" w:hAnsi="宋体" w:eastAsia="宋体" w:cs="宋体"/>
                <w:color w:val="000000"/>
                <w:kern w:val="0"/>
                <w:sz w:val="21"/>
                <w:szCs w:val="21"/>
                <w:lang w:val="en-US" w:eastAsia="zh-CN" w:bidi="ar"/>
              </w:rPr>
              <w:t>工作，主要</w:t>
            </w:r>
            <w:r>
              <w:rPr>
                <w:rFonts w:hint="eastAsia" w:ascii="宋体" w:hAnsi="宋体" w:cs="宋体"/>
                <w:color w:val="000000"/>
                <w:kern w:val="0"/>
                <w:sz w:val="21"/>
                <w:szCs w:val="21"/>
                <w:lang w:val="en-US" w:eastAsia="zh-CN" w:bidi="ar"/>
              </w:rPr>
              <w:t>工作</w:t>
            </w:r>
            <w:r>
              <w:rPr>
                <w:rFonts w:hint="eastAsia" w:ascii="宋体" w:hAnsi="宋体" w:eastAsia="宋体" w:cs="宋体"/>
                <w:color w:val="000000"/>
                <w:kern w:val="0"/>
                <w:sz w:val="21"/>
                <w:szCs w:val="21"/>
                <w:lang w:val="en-US" w:eastAsia="zh-CN" w:bidi="ar"/>
              </w:rPr>
              <w:t>如</w:t>
            </w:r>
            <w:r>
              <w:rPr>
                <w:rFonts w:hint="eastAsia" w:ascii="宋体" w:hAnsi="宋体" w:cs="宋体"/>
                <w:color w:val="000000"/>
                <w:kern w:val="0"/>
                <w:sz w:val="21"/>
                <w:szCs w:val="21"/>
                <w:lang w:val="en-US" w:eastAsia="zh-CN" w:bidi="ar"/>
              </w:rPr>
              <w:t>下。</w:t>
            </w:r>
          </w:p>
          <w:p w14:paraId="1735AB8F">
            <w:pPr>
              <w:keepNext w:val="0"/>
              <w:keepLines w:val="0"/>
              <w:widowControl/>
              <w:suppressLineNumbers w:val="0"/>
              <w:spacing w:line="360" w:lineRule="auto"/>
              <w:jc w:val="both"/>
              <w:rPr>
                <w:rFonts w:hint="eastAsia" w:ascii="宋体" w:hAnsi="宋体" w:eastAsia="宋体" w:cs="宋体"/>
                <w:color w:val="000000"/>
                <w:kern w:val="0"/>
                <w:sz w:val="21"/>
                <w:szCs w:val="21"/>
                <w:lang w:val="en-US" w:eastAsia="zh-CN" w:bidi="ar"/>
              </w:rPr>
            </w:pPr>
            <w:r>
              <w:rPr>
                <w:rFonts w:ascii="宋体" w:hAnsi="宋体" w:eastAsia="宋体" w:cs="宋体"/>
                <w:sz w:val="21"/>
                <w:szCs w:val="21"/>
              </w:rPr>
              <w:t>2025年7月</w:t>
            </w:r>
            <w:r>
              <w:rPr>
                <w:rFonts w:hint="eastAsia" w:ascii="宋体" w:hAnsi="宋体" w:cs="宋体"/>
                <w:sz w:val="21"/>
                <w:szCs w:val="21"/>
                <w:lang w:eastAsia="zh-CN"/>
              </w:rPr>
              <w:t>，</w:t>
            </w:r>
            <w:r>
              <w:rPr>
                <w:rFonts w:hint="eastAsia" w:ascii="宋体" w:hAnsi="宋体" w:eastAsia="宋体" w:cs="宋体"/>
                <w:color w:val="000000"/>
                <w:kern w:val="0"/>
                <w:sz w:val="21"/>
                <w:szCs w:val="21"/>
                <w:lang w:val="en-US" w:eastAsia="zh-CN" w:bidi="ar"/>
              </w:rPr>
              <w:t>成立标准工作组，开展国内外相关标准比对分析，研究确定标准初步框架；并开展针对性调研，提出标准项目建议。</w:t>
            </w:r>
          </w:p>
          <w:p w14:paraId="450EACD0">
            <w:pPr>
              <w:keepNext w:val="0"/>
              <w:keepLines w:val="0"/>
              <w:widowControl/>
              <w:suppressLineNumbers w:val="0"/>
              <w:spacing w:line="360" w:lineRule="auto"/>
              <w:jc w:val="both"/>
              <w:rPr>
                <w:rFonts w:ascii="宋体" w:hAnsi="宋体" w:eastAsia="宋体" w:cs="宋体"/>
                <w:sz w:val="21"/>
                <w:szCs w:val="21"/>
              </w:rPr>
            </w:pPr>
            <w:r>
              <w:rPr>
                <w:rFonts w:hint="eastAsia" w:ascii="宋体" w:hAnsi="宋体" w:cs="宋体"/>
                <w:color w:val="000000"/>
                <w:kern w:val="0"/>
                <w:sz w:val="21"/>
                <w:szCs w:val="21"/>
                <w:lang w:val="en-US" w:eastAsia="zh-CN" w:bidi="ar"/>
              </w:rPr>
              <w:t>2025年8月，</w:t>
            </w:r>
            <w:r>
              <w:rPr>
                <w:rFonts w:hint="eastAsia" w:ascii="宋体" w:hAnsi="宋体" w:eastAsia="宋体" w:cs="宋体"/>
                <w:color w:val="000000"/>
                <w:kern w:val="0"/>
                <w:sz w:val="21"/>
                <w:szCs w:val="21"/>
                <w:lang w:val="en-US" w:eastAsia="zh-CN" w:bidi="ar"/>
              </w:rPr>
              <w:t>组织标准起草工作组核心成员，确定标准主要内容，研究起草标准。</w:t>
            </w:r>
            <w:r>
              <w:rPr>
                <w:rFonts w:ascii="宋体" w:hAnsi="宋体" w:eastAsia="宋体" w:cs="宋体"/>
                <w:sz w:val="21"/>
                <w:szCs w:val="21"/>
              </w:rPr>
              <w:t>召开起草组内部</w:t>
            </w:r>
            <w:r>
              <w:rPr>
                <w:rFonts w:hint="eastAsia" w:ascii="宋体" w:hAnsi="宋体" w:cs="宋体"/>
                <w:sz w:val="21"/>
                <w:szCs w:val="21"/>
                <w:lang w:val="en-US" w:eastAsia="zh-CN"/>
              </w:rPr>
              <w:t>启动</w:t>
            </w:r>
            <w:r>
              <w:rPr>
                <w:rFonts w:ascii="宋体" w:hAnsi="宋体" w:eastAsia="宋体" w:cs="宋体"/>
                <w:sz w:val="21"/>
                <w:szCs w:val="21"/>
              </w:rPr>
              <w:t>会议，确定报告整体框架与技术大纲；明确各章节负责人及具体交付节点。</w:t>
            </w:r>
          </w:p>
          <w:p w14:paraId="4BEE87C3">
            <w:pPr>
              <w:keepNext w:val="0"/>
              <w:keepLines w:val="0"/>
              <w:widowControl/>
              <w:suppressLineNumbers w:val="0"/>
              <w:spacing w:line="360" w:lineRule="auto"/>
              <w:jc w:val="both"/>
              <w:rPr>
                <w:rFonts w:ascii="宋体" w:hAnsi="宋体" w:eastAsia="宋体" w:cs="宋体"/>
                <w:sz w:val="21"/>
                <w:szCs w:val="21"/>
              </w:rPr>
            </w:pPr>
            <w:r>
              <w:rPr>
                <w:rFonts w:hint="eastAsia" w:ascii="宋体" w:hAnsi="宋体" w:cs="宋体"/>
                <w:sz w:val="21"/>
                <w:szCs w:val="21"/>
                <w:lang w:val="en-US" w:eastAsia="zh-CN"/>
              </w:rPr>
              <w:t>2025年9月-10月，</w:t>
            </w:r>
            <w:r>
              <w:rPr>
                <w:rFonts w:ascii="宋体" w:hAnsi="宋体" w:eastAsia="宋体" w:cs="宋体"/>
                <w:sz w:val="21"/>
                <w:szCs w:val="21"/>
              </w:rPr>
              <w:t>各撰写组成员开展初稿</w:t>
            </w:r>
            <w:r>
              <w:rPr>
                <w:rFonts w:hint="eastAsia" w:ascii="宋体" w:hAnsi="宋体" w:cs="宋体"/>
                <w:sz w:val="21"/>
                <w:szCs w:val="21"/>
                <w:lang w:val="en-US" w:eastAsia="zh-CN"/>
              </w:rPr>
              <w:t>各章节</w:t>
            </w:r>
            <w:r>
              <w:rPr>
                <w:rFonts w:ascii="宋体" w:hAnsi="宋体" w:eastAsia="宋体" w:cs="宋体"/>
                <w:sz w:val="21"/>
                <w:szCs w:val="21"/>
              </w:rPr>
              <w:t>撰写；组织2次中期内部研讨会，解决交叉章节的数据与观点冲突</w:t>
            </w:r>
            <w:r>
              <w:rPr>
                <w:rFonts w:hint="eastAsia" w:ascii="宋体" w:hAnsi="宋体" w:eastAsia="宋体" w:cs="宋体"/>
                <w:color w:val="000000"/>
                <w:kern w:val="0"/>
                <w:sz w:val="21"/>
                <w:szCs w:val="21"/>
                <w:lang w:val="en-US" w:eastAsia="zh-CN" w:bidi="ar"/>
              </w:rPr>
              <w:t>，形成标准初稿</w:t>
            </w:r>
            <w:r>
              <w:rPr>
                <w:rFonts w:hint="eastAsia" w:ascii="宋体" w:hAnsi="宋体" w:cs="宋体"/>
                <w:color w:val="000000"/>
                <w:kern w:val="0"/>
                <w:sz w:val="21"/>
                <w:szCs w:val="21"/>
                <w:lang w:val="en-US" w:eastAsia="zh-CN" w:bidi="ar"/>
              </w:rPr>
              <w:t>。</w:t>
            </w:r>
          </w:p>
          <w:p w14:paraId="73501FDE">
            <w:pPr>
              <w:keepNext w:val="0"/>
              <w:keepLines w:val="0"/>
              <w:widowControl/>
              <w:suppressLineNumbers w:val="0"/>
              <w:spacing w:line="360" w:lineRule="auto"/>
              <w:jc w:val="both"/>
              <w:rPr>
                <w:rFonts w:hint="eastAsia" w:ascii="宋体" w:hAnsi="宋体" w:cs="宋体"/>
                <w:sz w:val="21"/>
                <w:szCs w:val="21"/>
                <w:lang w:eastAsia="zh-CN"/>
              </w:rPr>
            </w:pPr>
            <w:r>
              <w:rPr>
                <w:rFonts w:hint="eastAsia" w:ascii="宋体" w:hAnsi="宋体" w:cs="宋体"/>
                <w:sz w:val="21"/>
                <w:szCs w:val="21"/>
                <w:lang w:val="en-US" w:eastAsia="zh-CN"/>
              </w:rPr>
              <w:t>2025年11月-12月，</w:t>
            </w:r>
            <w:r>
              <w:rPr>
                <w:rFonts w:ascii="宋体" w:hAnsi="宋体" w:eastAsia="宋体" w:cs="宋体"/>
                <w:sz w:val="21"/>
                <w:szCs w:val="21"/>
              </w:rPr>
              <w:t>邀请专家组进行评审，收集深度修改意见。针对专家组评审意见进行逐条修改与内容深化</w:t>
            </w:r>
            <w:r>
              <w:rPr>
                <w:rFonts w:hint="eastAsia" w:ascii="宋体" w:hAnsi="宋体" w:cs="宋体"/>
                <w:sz w:val="21"/>
                <w:szCs w:val="21"/>
                <w:lang w:eastAsia="zh-CN"/>
              </w:rPr>
              <w:t>。</w:t>
            </w:r>
          </w:p>
          <w:p w14:paraId="4400C20F">
            <w:pPr>
              <w:keepNext w:val="0"/>
              <w:keepLines w:val="0"/>
              <w:widowControl/>
              <w:suppressLineNumbers w:val="0"/>
              <w:spacing w:line="360" w:lineRule="auto"/>
              <w:jc w:val="both"/>
              <w:rPr>
                <w:rFonts w:ascii="宋体" w:hAnsi="宋体" w:eastAsia="宋体" w:cs="宋体"/>
                <w:sz w:val="21"/>
                <w:szCs w:val="21"/>
              </w:rPr>
            </w:pPr>
            <w:r>
              <w:rPr>
                <w:rFonts w:ascii="宋体" w:hAnsi="宋体" w:eastAsia="宋体" w:cs="宋体"/>
                <w:sz w:val="21"/>
                <w:szCs w:val="21"/>
              </w:rPr>
              <w:t>2026年1月</w:t>
            </w:r>
            <w:r>
              <w:rPr>
                <w:rFonts w:hint="eastAsia" w:ascii="宋体" w:hAnsi="宋体" w:cs="宋体"/>
                <w:sz w:val="21"/>
                <w:szCs w:val="21"/>
                <w:lang w:eastAsia="zh-CN"/>
              </w:rPr>
              <w:t>，</w:t>
            </w:r>
            <w:r>
              <w:rPr>
                <w:rFonts w:hint="eastAsia" w:ascii="宋体" w:hAnsi="宋体" w:cs="宋体"/>
                <w:sz w:val="21"/>
                <w:szCs w:val="21"/>
                <w:lang w:val="en-US" w:eastAsia="zh-CN"/>
              </w:rPr>
              <w:t>牵头</w:t>
            </w:r>
            <w:r>
              <w:rPr>
                <w:rFonts w:ascii="宋体" w:hAnsi="宋体" w:eastAsia="宋体" w:cs="宋体"/>
                <w:sz w:val="21"/>
                <w:szCs w:val="21"/>
              </w:rPr>
              <w:t>团队进行全篇统稿，确保逻辑连贯、术语统一；对照</w:t>
            </w:r>
            <w:r>
              <w:rPr>
                <w:rFonts w:hint="eastAsia" w:ascii="宋体" w:hAnsi="宋体" w:cs="宋体"/>
                <w:sz w:val="21"/>
                <w:szCs w:val="21"/>
                <w:lang w:val="en-US" w:eastAsia="zh-CN"/>
              </w:rPr>
              <w:t>行业</w:t>
            </w:r>
            <w:r>
              <w:rPr>
                <w:rFonts w:ascii="宋体" w:hAnsi="宋体" w:eastAsia="宋体" w:cs="宋体"/>
                <w:sz w:val="21"/>
                <w:szCs w:val="21"/>
              </w:rPr>
              <w:t>标准进行格式审查</w:t>
            </w:r>
            <w:r>
              <w:rPr>
                <w:rFonts w:hint="eastAsia" w:ascii="宋体" w:hAnsi="宋体" w:cs="宋体"/>
                <w:sz w:val="21"/>
                <w:szCs w:val="21"/>
                <w:lang w:val="en-US" w:eastAsia="zh-CN"/>
              </w:rPr>
              <w:t>和术语统一</w:t>
            </w:r>
            <w:r>
              <w:rPr>
                <w:rFonts w:ascii="宋体" w:hAnsi="宋体" w:eastAsia="宋体" w:cs="宋体"/>
                <w:sz w:val="21"/>
                <w:szCs w:val="21"/>
              </w:rPr>
              <w:t>。</w:t>
            </w:r>
          </w:p>
          <w:p w14:paraId="0A5C5703">
            <w:pPr>
              <w:keepNext w:val="0"/>
              <w:keepLines w:val="0"/>
              <w:widowControl/>
              <w:suppressLineNumbers w:val="0"/>
              <w:spacing w:line="360" w:lineRule="auto"/>
              <w:jc w:val="both"/>
              <w:rPr>
                <w:rFonts w:ascii="宋体" w:hAnsi="宋体" w:eastAsia="宋体" w:cs="宋体"/>
                <w:sz w:val="21"/>
                <w:szCs w:val="21"/>
              </w:rPr>
            </w:pPr>
            <w:r>
              <w:rPr>
                <w:rFonts w:ascii="宋体" w:hAnsi="宋体" w:eastAsia="宋体" w:cs="宋体"/>
                <w:sz w:val="21"/>
                <w:szCs w:val="21"/>
              </w:rPr>
              <w:t>2026年2月</w:t>
            </w:r>
            <w:r>
              <w:rPr>
                <w:rFonts w:hint="eastAsia" w:ascii="宋体" w:hAnsi="宋体" w:cs="宋体"/>
                <w:sz w:val="21"/>
                <w:szCs w:val="21"/>
                <w:lang w:eastAsia="zh-CN"/>
              </w:rPr>
              <w:t>，</w:t>
            </w:r>
            <w:r>
              <w:rPr>
                <w:rFonts w:ascii="宋体" w:hAnsi="宋体" w:eastAsia="宋体" w:cs="宋体"/>
                <w:sz w:val="21"/>
                <w:szCs w:val="21"/>
              </w:rPr>
              <w:t>形成</w:t>
            </w:r>
            <w:r>
              <w:rPr>
                <w:rFonts w:hint="eastAsia" w:ascii="宋体" w:hAnsi="宋体" w:cs="宋体"/>
                <w:sz w:val="21"/>
                <w:szCs w:val="21"/>
                <w:lang w:val="en-US" w:eastAsia="zh-CN"/>
              </w:rPr>
              <w:t>标准征求意见稿</w:t>
            </w:r>
            <w:r>
              <w:rPr>
                <w:rFonts w:ascii="宋体" w:hAnsi="宋体" w:eastAsia="宋体" w:cs="宋体"/>
                <w:sz w:val="21"/>
                <w:szCs w:val="21"/>
              </w:rPr>
              <w:t>；</w:t>
            </w:r>
            <w:r>
              <w:rPr>
                <w:rFonts w:hint="eastAsia" w:ascii="宋体" w:hAnsi="宋体" w:cs="宋体"/>
                <w:sz w:val="21"/>
                <w:szCs w:val="21"/>
                <w:lang w:val="en-US" w:eastAsia="zh-CN"/>
              </w:rPr>
              <w:t>确认</w:t>
            </w:r>
            <w:r>
              <w:rPr>
                <w:rFonts w:ascii="宋体" w:hAnsi="宋体" w:eastAsia="宋体" w:cs="宋体"/>
                <w:sz w:val="21"/>
                <w:szCs w:val="21"/>
              </w:rPr>
              <w:t>撰写组</w:t>
            </w:r>
            <w:r>
              <w:rPr>
                <w:rFonts w:hint="eastAsia" w:ascii="宋体" w:hAnsi="宋体" w:cs="宋体"/>
                <w:sz w:val="21"/>
                <w:szCs w:val="21"/>
                <w:lang w:val="en-US" w:eastAsia="zh-CN"/>
              </w:rPr>
              <w:t>成员</w:t>
            </w:r>
            <w:r>
              <w:rPr>
                <w:rFonts w:ascii="宋体" w:hAnsi="宋体" w:eastAsia="宋体" w:cs="宋体"/>
                <w:sz w:val="21"/>
                <w:szCs w:val="21"/>
              </w:rPr>
              <w:t>信息</w:t>
            </w:r>
            <w:r>
              <w:rPr>
                <w:rFonts w:hint="eastAsia" w:ascii="宋体" w:hAnsi="宋体" w:cs="宋体"/>
                <w:sz w:val="21"/>
                <w:szCs w:val="21"/>
                <w:lang w:eastAsia="zh-CN"/>
              </w:rPr>
              <w:t>，</w:t>
            </w:r>
            <w:r>
              <w:rPr>
                <w:rFonts w:hint="eastAsia" w:ascii="宋体" w:hAnsi="宋体" w:cs="宋体"/>
                <w:sz w:val="21"/>
                <w:szCs w:val="21"/>
                <w:lang w:val="en-US" w:eastAsia="zh-CN"/>
              </w:rPr>
              <w:t>准备</w:t>
            </w:r>
            <w:r>
              <w:rPr>
                <w:rFonts w:ascii="宋体" w:hAnsi="宋体" w:eastAsia="宋体" w:cs="宋体"/>
                <w:sz w:val="21"/>
                <w:szCs w:val="21"/>
              </w:rPr>
              <w:t>进入公开征求意见程序。</w:t>
            </w:r>
          </w:p>
          <w:p w14:paraId="4C7B3D1D">
            <w:pPr>
              <w:keepNext w:val="0"/>
              <w:keepLines w:val="0"/>
              <w:widowControl/>
              <w:suppressLineNumbers w:val="0"/>
              <w:spacing w:line="360" w:lineRule="auto"/>
              <w:jc w:val="both"/>
              <w:rPr>
                <w:rFonts w:hint="eastAsia" w:ascii="宋体" w:hAnsi="宋体" w:eastAsia="宋体" w:cs="宋体"/>
                <w:sz w:val="21"/>
                <w:szCs w:val="21"/>
              </w:rPr>
            </w:pPr>
          </w:p>
        </w:tc>
      </w:tr>
      <w:tr w14:paraId="42A262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2247" w:hRule="atLeast"/>
        </w:trPr>
        <w:tc>
          <w:tcPr>
            <w:tcW w:w="1794" w:type="dxa"/>
            <w:tcBorders>
              <w:top w:val="single" w:color="auto" w:sz="4" w:space="0"/>
              <w:bottom w:val="single" w:color="auto" w:sz="6" w:space="0"/>
            </w:tcBorders>
            <w:vAlign w:val="center"/>
          </w:tcPr>
          <w:p w14:paraId="75D009F9">
            <w:pPr>
              <w:ind w:left="141" w:leftChars="67" w:right="176" w:rightChars="84"/>
              <w:rPr>
                <w:rFonts w:ascii="宋体" w:hAnsi="宋体"/>
                <w:color w:val="000000"/>
                <w:szCs w:val="21"/>
              </w:rPr>
            </w:pPr>
            <w:r>
              <w:rPr>
                <w:rFonts w:ascii="宋体" w:hAnsi="宋体"/>
                <w:color w:val="000000"/>
                <w:szCs w:val="21"/>
              </w:rPr>
              <w:t>3.</w:t>
            </w:r>
            <w:r>
              <w:rPr>
                <w:rFonts w:hint="eastAsia" w:ascii="宋体" w:hAnsi="宋体"/>
                <w:color w:val="000000"/>
                <w:szCs w:val="21"/>
              </w:rPr>
              <w:t>3征求意见阶段</w:t>
            </w:r>
          </w:p>
        </w:tc>
        <w:tc>
          <w:tcPr>
            <w:tcW w:w="7831" w:type="dxa"/>
            <w:tcBorders>
              <w:top w:val="single" w:color="auto" w:sz="4" w:space="0"/>
              <w:bottom w:val="single" w:color="auto" w:sz="6" w:space="0"/>
            </w:tcBorders>
            <w:vAlign w:val="center"/>
          </w:tcPr>
          <w:p w14:paraId="491B97FB">
            <w:pPr>
              <w:jc w:val="left"/>
              <w:rPr>
                <w:rFonts w:ascii="宋体" w:hAnsi="宋体"/>
                <w:color w:val="000000"/>
                <w:szCs w:val="21"/>
              </w:rPr>
            </w:pPr>
            <w:r>
              <w:rPr>
                <w:rFonts w:hint="eastAsia" w:asciiTheme="minorEastAsia" w:hAnsiTheme="minorEastAsia" w:eastAsiaTheme="minorEastAsia" w:cstheme="minorEastAsia"/>
                <w:color w:val="000000"/>
                <w:szCs w:val="21"/>
              </w:rPr>
              <w:t>202</w:t>
            </w:r>
            <w:r>
              <w:rPr>
                <w:rFonts w:hint="eastAsia" w:asciiTheme="minorEastAsia" w:hAnsiTheme="minorEastAsia" w:eastAsiaTheme="minorEastAsia" w:cstheme="minorEastAsia"/>
                <w:color w:val="000000"/>
                <w:szCs w:val="21"/>
                <w:lang w:val="en-US" w:eastAsia="zh-CN"/>
              </w:rPr>
              <w:t>6</w:t>
            </w:r>
            <w:r>
              <w:rPr>
                <w:rFonts w:hint="eastAsia" w:asciiTheme="minorEastAsia" w:hAnsiTheme="minorEastAsia" w:eastAsiaTheme="minorEastAsia" w:cstheme="minorEastAsia"/>
                <w:color w:val="000000"/>
                <w:szCs w:val="21"/>
              </w:rPr>
              <w:t>年</w:t>
            </w:r>
            <w:r>
              <w:rPr>
                <w:rFonts w:hint="eastAsia" w:asciiTheme="minorEastAsia" w:hAnsiTheme="minorEastAsia" w:eastAsiaTheme="minorEastAsia" w:cstheme="minorEastAsia"/>
                <w:color w:val="000000"/>
                <w:szCs w:val="21"/>
                <w:lang w:val="en-US" w:eastAsia="zh-CN"/>
              </w:rPr>
              <w:t>4</w:t>
            </w:r>
            <w:r>
              <w:rPr>
                <w:rFonts w:hint="eastAsia" w:asciiTheme="minorEastAsia" w:hAnsiTheme="minorEastAsia" w:eastAsiaTheme="minorEastAsia" w:cstheme="minorEastAsia"/>
                <w:color w:val="000000"/>
                <w:szCs w:val="21"/>
              </w:rPr>
              <w:t>月-2026年</w:t>
            </w:r>
            <w:r>
              <w:rPr>
                <w:rFonts w:hint="eastAsia" w:asciiTheme="minorEastAsia" w:hAnsiTheme="minorEastAsia" w:eastAsiaTheme="minorEastAsia" w:cstheme="minorEastAsia"/>
                <w:color w:val="000000"/>
                <w:szCs w:val="21"/>
                <w:lang w:val="en-US" w:eastAsia="zh-CN"/>
              </w:rPr>
              <w:t>9</w:t>
            </w:r>
            <w:r>
              <w:rPr>
                <w:rFonts w:hint="eastAsia" w:asciiTheme="minorEastAsia" w:hAnsiTheme="minorEastAsia" w:eastAsiaTheme="minorEastAsia" w:cstheme="minorEastAsia"/>
                <w:color w:val="000000"/>
                <w:szCs w:val="21"/>
              </w:rPr>
              <w:t>月</w:t>
            </w:r>
          </w:p>
        </w:tc>
      </w:tr>
      <w:tr w14:paraId="1EC331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973" w:hRule="atLeast"/>
        </w:trPr>
        <w:tc>
          <w:tcPr>
            <w:tcW w:w="1794" w:type="dxa"/>
            <w:tcBorders>
              <w:top w:val="single" w:color="auto" w:sz="6" w:space="0"/>
              <w:bottom w:val="single" w:color="auto" w:sz="6" w:space="0"/>
            </w:tcBorders>
            <w:vAlign w:val="center"/>
          </w:tcPr>
          <w:p w14:paraId="6A9E65EA">
            <w:pPr>
              <w:ind w:left="141" w:leftChars="67" w:right="176" w:rightChars="84"/>
              <w:rPr>
                <w:rFonts w:ascii="宋体" w:hAnsi="宋体"/>
                <w:color w:val="000000"/>
                <w:szCs w:val="21"/>
              </w:rPr>
            </w:pPr>
            <w:r>
              <w:rPr>
                <w:rFonts w:ascii="宋体" w:hAnsi="宋体"/>
                <w:color w:val="000000"/>
                <w:szCs w:val="21"/>
              </w:rPr>
              <w:t>3.</w:t>
            </w:r>
            <w:r>
              <w:rPr>
                <w:rFonts w:hint="eastAsia" w:ascii="宋体" w:hAnsi="宋体"/>
                <w:color w:val="000000"/>
                <w:szCs w:val="21"/>
              </w:rPr>
              <w:t>4标准预审查阶段</w:t>
            </w:r>
          </w:p>
        </w:tc>
        <w:tc>
          <w:tcPr>
            <w:tcW w:w="7831" w:type="dxa"/>
            <w:tcBorders>
              <w:top w:val="single" w:color="auto" w:sz="6" w:space="0"/>
              <w:bottom w:val="single" w:color="auto" w:sz="6" w:space="0"/>
            </w:tcBorders>
            <w:vAlign w:val="center"/>
          </w:tcPr>
          <w:p w14:paraId="59B8B9F7">
            <w:pPr>
              <w:jc w:val="left"/>
              <w:rPr>
                <w:rFonts w:ascii="宋体" w:hAnsi="宋体"/>
                <w:color w:val="000000"/>
                <w:szCs w:val="21"/>
              </w:rPr>
            </w:pPr>
          </w:p>
        </w:tc>
      </w:tr>
      <w:tr w14:paraId="4EF20C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539" w:hRule="atLeast"/>
        </w:trPr>
        <w:tc>
          <w:tcPr>
            <w:tcW w:w="1794" w:type="dxa"/>
            <w:tcBorders>
              <w:top w:val="single" w:color="auto" w:sz="6" w:space="0"/>
              <w:bottom w:val="single" w:color="auto" w:sz="6" w:space="0"/>
            </w:tcBorders>
            <w:vAlign w:val="center"/>
          </w:tcPr>
          <w:p w14:paraId="414F674D">
            <w:pPr>
              <w:ind w:left="141" w:leftChars="67" w:right="176" w:rightChars="84"/>
              <w:rPr>
                <w:rFonts w:ascii="宋体" w:hAnsi="宋体"/>
                <w:color w:val="000000"/>
                <w:szCs w:val="21"/>
              </w:rPr>
            </w:pPr>
            <w:r>
              <w:rPr>
                <w:rFonts w:hint="eastAsia" w:ascii="宋体" w:hAnsi="宋体"/>
                <w:color w:val="000000"/>
                <w:szCs w:val="21"/>
              </w:rPr>
              <w:t>3.5标准审查阶段</w:t>
            </w:r>
          </w:p>
        </w:tc>
        <w:tc>
          <w:tcPr>
            <w:tcW w:w="7831" w:type="dxa"/>
            <w:tcBorders>
              <w:top w:val="single" w:color="auto" w:sz="6" w:space="0"/>
              <w:bottom w:val="single" w:color="auto" w:sz="6" w:space="0"/>
            </w:tcBorders>
            <w:vAlign w:val="center"/>
          </w:tcPr>
          <w:p w14:paraId="1E3AC05A">
            <w:pPr>
              <w:jc w:val="left"/>
              <w:rPr>
                <w:rFonts w:ascii="宋体" w:hAnsi="宋体"/>
                <w:color w:val="000000"/>
                <w:szCs w:val="21"/>
              </w:rPr>
            </w:pPr>
          </w:p>
        </w:tc>
      </w:tr>
    </w:tbl>
    <w:p w14:paraId="36CAA94A">
      <w:pPr>
        <w:rPr>
          <w:rFonts w:eastAsia="仿宋_GB2312"/>
          <w:b/>
          <w:color w:val="000000"/>
          <w:kern w:val="0"/>
          <w:sz w:val="32"/>
        </w:rPr>
      </w:pPr>
      <w:r>
        <w:rPr>
          <w:rFonts w:eastAsia="仿宋_GB2312"/>
          <w:b/>
          <w:color w:val="000000"/>
          <w:kern w:val="0"/>
          <w:sz w:val="32"/>
        </w:rPr>
        <w:br w:type="page"/>
      </w:r>
    </w:p>
    <w:tbl>
      <w:tblPr>
        <w:tblStyle w:val="38"/>
        <w:tblpPr w:leftFromText="180" w:rightFromText="180" w:vertAnchor="text" w:horzAnchor="margin" w:tblpXSpec="center" w:tblpY="169"/>
        <w:tblW w:w="962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9625"/>
      </w:tblGrid>
      <w:tr w14:paraId="3A4A78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13" w:hRule="atLeast"/>
        </w:trPr>
        <w:tc>
          <w:tcPr>
            <w:tcW w:w="9625" w:type="dxa"/>
            <w:tcBorders>
              <w:top w:val="nil"/>
              <w:left w:val="nil"/>
              <w:bottom w:val="single" w:color="auto" w:sz="4" w:space="0"/>
              <w:right w:val="nil"/>
            </w:tcBorders>
            <w:vAlign w:val="center"/>
          </w:tcPr>
          <w:p w14:paraId="17CD4E88">
            <w:pPr>
              <w:rPr>
                <w:rFonts w:ascii="宋体" w:hAnsi="宋体"/>
                <w:b/>
                <w:color w:val="000000"/>
                <w:szCs w:val="21"/>
              </w:rPr>
            </w:pPr>
            <w:r>
              <w:rPr>
                <w:rFonts w:hint="eastAsia" w:ascii="宋体" w:hAnsi="宋体"/>
                <w:b/>
                <w:color w:val="000000"/>
                <w:szCs w:val="21"/>
              </w:rPr>
              <w:t>4  主要技术内容的确定</w:t>
            </w:r>
          </w:p>
        </w:tc>
      </w:tr>
      <w:tr w14:paraId="4F055C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1993" w:hRule="atLeast"/>
        </w:trPr>
        <w:tc>
          <w:tcPr>
            <w:tcW w:w="9625" w:type="dxa"/>
            <w:tcBorders>
              <w:top w:val="single" w:color="auto" w:sz="4" w:space="0"/>
              <w:left w:val="single" w:color="auto" w:sz="4" w:space="0"/>
              <w:bottom w:val="single" w:color="auto" w:sz="4" w:space="0"/>
              <w:right w:val="single" w:color="auto" w:sz="4" w:space="0"/>
            </w:tcBorders>
            <w:vAlign w:val="center"/>
          </w:tcPr>
          <w:p w14:paraId="6AAB4FAF">
            <w:pPr>
              <w:numPr>
                <w:ilvl w:val="255"/>
                <w:numId w:val="0"/>
              </w:numPr>
              <w:spacing w:line="360" w:lineRule="exact"/>
              <w:rPr>
                <w:rFonts w:ascii="黑体" w:hAnsi="宋体" w:eastAsia="黑体"/>
                <w:color w:val="000000"/>
                <w:szCs w:val="21"/>
              </w:rPr>
            </w:pPr>
            <w:r>
              <w:rPr>
                <w:rFonts w:hint="default" w:ascii="黑体" w:hAnsi="宋体" w:eastAsia="黑体"/>
                <w:color w:val="000000"/>
                <w:szCs w:val="21"/>
              </w:rPr>
              <w:t>（一）主要技术内容</w:t>
            </w:r>
          </w:p>
          <w:p w14:paraId="79DA7A55">
            <w:pPr>
              <w:numPr>
                <w:ilvl w:val="255"/>
                <w:numId w:val="0"/>
              </w:numPr>
              <w:spacing w:line="360" w:lineRule="exact"/>
              <w:rPr>
                <w:rFonts w:hint="default" w:ascii="黑体" w:hAnsi="宋体" w:eastAsia="黑体"/>
                <w:color w:val="000000"/>
                <w:szCs w:val="21"/>
              </w:rPr>
            </w:pPr>
            <w:r>
              <w:rPr>
                <w:rFonts w:hint="default" w:ascii="黑体" w:hAnsi="宋体" w:eastAsia="黑体"/>
                <w:color w:val="000000"/>
                <w:szCs w:val="21"/>
              </w:rPr>
              <w:t>本标准拟规定消费级无人机检验检测的通用检验检测项目、方法及判定准则，主要包括：</w:t>
            </w:r>
          </w:p>
          <w:p w14:paraId="02C9A2B7">
            <w:pPr>
              <w:numPr>
                <w:ilvl w:val="255"/>
                <w:numId w:val="0"/>
              </w:numPr>
              <w:spacing w:line="360" w:lineRule="exact"/>
              <w:rPr>
                <w:rFonts w:hint="default" w:ascii="黑体" w:hAnsi="宋体" w:eastAsia="黑体"/>
                <w:color w:val="000000"/>
                <w:szCs w:val="21"/>
              </w:rPr>
            </w:pPr>
          </w:p>
          <w:p w14:paraId="22051005">
            <w:pPr>
              <w:numPr>
                <w:ilvl w:val="255"/>
                <w:numId w:val="0"/>
              </w:numPr>
              <w:spacing w:line="360" w:lineRule="exact"/>
              <w:rPr>
                <w:rFonts w:hint="default" w:ascii="黑体" w:hAnsi="宋体" w:eastAsia="黑体"/>
                <w:color w:val="000000"/>
                <w:szCs w:val="21"/>
              </w:rPr>
            </w:pPr>
            <w:r>
              <w:rPr>
                <w:rFonts w:hint="default" w:ascii="黑体" w:hAnsi="宋体" w:eastAsia="黑体"/>
                <w:color w:val="000000"/>
                <w:szCs w:val="21"/>
              </w:rPr>
              <w:t>1.通用检测项目及方法</w:t>
            </w:r>
          </w:p>
          <w:p w14:paraId="5A3864F7">
            <w:pPr>
              <w:numPr>
                <w:ilvl w:val="255"/>
                <w:numId w:val="0"/>
              </w:numPr>
              <w:spacing w:line="360" w:lineRule="exact"/>
              <w:rPr>
                <w:rFonts w:hint="default" w:ascii="黑体" w:hAnsi="宋体" w:eastAsia="黑体"/>
                <w:color w:val="000000"/>
                <w:szCs w:val="21"/>
              </w:rPr>
            </w:pPr>
            <w:r>
              <w:rPr>
                <w:rFonts w:hint="default" w:ascii="黑体" w:hAnsi="宋体" w:eastAsia="黑体"/>
                <w:color w:val="000000"/>
                <w:szCs w:val="21"/>
              </w:rPr>
              <w:t>2.环境适应性</w:t>
            </w:r>
          </w:p>
          <w:p w14:paraId="4F7F80A2">
            <w:pPr>
              <w:numPr>
                <w:ilvl w:val="255"/>
                <w:numId w:val="0"/>
              </w:numPr>
              <w:spacing w:line="360" w:lineRule="exact"/>
              <w:rPr>
                <w:rFonts w:hint="default" w:ascii="黑体" w:hAnsi="宋体" w:eastAsia="黑体"/>
                <w:color w:val="000000"/>
                <w:szCs w:val="21"/>
              </w:rPr>
            </w:pPr>
            <w:r>
              <w:rPr>
                <w:rFonts w:hint="default" w:ascii="黑体" w:hAnsi="宋体" w:eastAsia="黑体"/>
                <w:color w:val="000000"/>
                <w:szCs w:val="21"/>
              </w:rPr>
              <w:t>3.标识与文档</w:t>
            </w:r>
          </w:p>
          <w:p w14:paraId="518F665F">
            <w:pPr>
              <w:numPr>
                <w:ilvl w:val="255"/>
                <w:numId w:val="0"/>
              </w:numPr>
              <w:spacing w:line="360" w:lineRule="exact"/>
              <w:rPr>
                <w:rFonts w:hint="default" w:ascii="黑体" w:hAnsi="宋体" w:eastAsia="黑体"/>
                <w:color w:val="000000"/>
                <w:szCs w:val="21"/>
              </w:rPr>
            </w:pPr>
            <w:r>
              <w:rPr>
                <w:rFonts w:hint="default" w:ascii="黑体" w:hAnsi="宋体" w:eastAsia="黑体"/>
                <w:color w:val="000000"/>
                <w:szCs w:val="21"/>
              </w:rPr>
              <w:t>4.检验结果判定</w:t>
            </w:r>
          </w:p>
          <w:p w14:paraId="6E98B1BC">
            <w:pPr>
              <w:numPr>
                <w:ilvl w:val="255"/>
                <w:numId w:val="0"/>
              </w:numPr>
              <w:spacing w:line="360" w:lineRule="exact"/>
              <w:rPr>
                <w:rFonts w:hint="default" w:ascii="黑体" w:hAnsi="宋体" w:eastAsia="黑体"/>
                <w:color w:val="000000"/>
                <w:szCs w:val="21"/>
              </w:rPr>
            </w:pPr>
            <w:r>
              <w:rPr>
                <w:rFonts w:hint="default" w:ascii="黑体" w:hAnsi="宋体" w:eastAsia="黑体"/>
                <w:color w:val="000000"/>
                <w:szCs w:val="21"/>
              </w:rPr>
              <w:t>5.（规范性）检测设备要求</w:t>
            </w:r>
          </w:p>
          <w:p w14:paraId="3A2E9815">
            <w:pPr>
              <w:numPr>
                <w:ilvl w:val="255"/>
                <w:numId w:val="0"/>
              </w:numPr>
              <w:spacing w:line="360" w:lineRule="exact"/>
              <w:rPr>
                <w:rFonts w:ascii="黑体" w:hAnsi="宋体" w:eastAsia="黑体"/>
                <w:color w:val="000000"/>
                <w:szCs w:val="21"/>
              </w:rPr>
            </w:pPr>
            <w:r>
              <w:rPr>
                <w:rFonts w:hint="default" w:ascii="黑体" w:hAnsi="宋体" w:eastAsia="黑体"/>
                <w:color w:val="000000"/>
                <w:szCs w:val="21"/>
              </w:rPr>
              <w:t>6.（资料性）抽样方案及周期检验</w:t>
            </w:r>
          </w:p>
          <w:p w14:paraId="1F22BAB0">
            <w:pPr>
              <w:rPr>
                <w:rFonts w:ascii="宋体" w:hAnsi="宋体"/>
                <w:color w:val="000000"/>
                <w:szCs w:val="21"/>
              </w:rPr>
            </w:pPr>
          </w:p>
        </w:tc>
      </w:tr>
    </w:tbl>
    <w:p w14:paraId="1BC3F650">
      <w:pPr>
        <w:rPr>
          <w:rFonts w:eastAsia="仿宋_GB2312"/>
          <w:b/>
          <w:color w:val="000000"/>
          <w:kern w:val="0"/>
          <w:sz w:val="32"/>
        </w:rPr>
      </w:pPr>
      <w:r>
        <w:rPr>
          <w:rFonts w:eastAsia="仿宋_GB2312"/>
          <w:b/>
          <w:color w:val="000000"/>
          <w:kern w:val="0"/>
          <w:sz w:val="32"/>
        </w:rPr>
        <w:br w:type="page"/>
      </w:r>
    </w:p>
    <w:tbl>
      <w:tblPr>
        <w:tblStyle w:val="38"/>
        <w:tblpPr w:leftFromText="180" w:rightFromText="180" w:vertAnchor="text" w:horzAnchor="margin" w:tblpXSpec="center" w:tblpY="169"/>
        <w:tblW w:w="962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800"/>
        <w:gridCol w:w="6"/>
        <w:gridCol w:w="2354"/>
        <w:gridCol w:w="2814"/>
        <w:gridCol w:w="2651"/>
      </w:tblGrid>
      <w:tr w14:paraId="21DBA8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90" w:hRule="atLeast"/>
        </w:trPr>
        <w:tc>
          <w:tcPr>
            <w:tcW w:w="9625" w:type="dxa"/>
            <w:gridSpan w:val="5"/>
            <w:tcBorders>
              <w:top w:val="nil"/>
              <w:left w:val="nil"/>
              <w:bottom w:val="nil"/>
              <w:right w:val="nil"/>
            </w:tcBorders>
            <w:vAlign w:val="center"/>
          </w:tcPr>
          <w:p w14:paraId="47CD1641">
            <w:pPr>
              <w:rPr>
                <w:rFonts w:ascii="宋体" w:hAnsi="宋体"/>
                <w:b/>
                <w:color w:val="000000"/>
                <w:szCs w:val="21"/>
              </w:rPr>
            </w:pPr>
            <w:r>
              <w:rPr>
                <w:rFonts w:hint="eastAsia" w:ascii="宋体" w:hAnsi="宋体"/>
                <w:b/>
                <w:color w:val="000000"/>
                <w:szCs w:val="21"/>
              </w:rPr>
              <w:t>5  验证情况（基础类标准除外）</w:t>
            </w:r>
          </w:p>
        </w:tc>
      </w:tr>
      <w:tr w14:paraId="59275B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85" w:hRule="atLeast"/>
        </w:trPr>
        <w:tc>
          <w:tcPr>
            <w:tcW w:w="1800" w:type="dxa"/>
            <w:vMerge w:val="restart"/>
            <w:tcBorders>
              <w:top w:val="single" w:color="auto" w:sz="4" w:space="0"/>
              <w:left w:val="single" w:color="auto" w:sz="4" w:space="0"/>
              <w:right w:val="single" w:color="auto" w:sz="4" w:space="0"/>
            </w:tcBorders>
            <w:vAlign w:val="center"/>
          </w:tcPr>
          <w:p w14:paraId="02DB73F8">
            <w:pPr>
              <w:ind w:left="141" w:leftChars="67" w:right="48" w:rightChars="23"/>
              <w:rPr>
                <w:rFonts w:ascii="宋体" w:hAnsi="宋体"/>
                <w:color w:val="000000"/>
                <w:szCs w:val="21"/>
              </w:rPr>
            </w:pPr>
            <w:r>
              <w:rPr>
                <w:rFonts w:ascii="宋体" w:hAnsi="宋体"/>
                <w:color w:val="000000"/>
                <w:szCs w:val="21"/>
              </w:rPr>
              <w:t>5.1 验证单位情况</w:t>
            </w:r>
          </w:p>
        </w:tc>
        <w:tc>
          <w:tcPr>
            <w:tcW w:w="2360" w:type="dxa"/>
            <w:gridSpan w:val="2"/>
            <w:tcBorders>
              <w:top w:val="single" w:color="auto" w:sz="4" w:space="0"/>
              <w:left w:val="single" w:color="auto" w:sz="4" w:space="0"/>
              <w:bottom w:val="single" w:color="auto" w:sz="4" w:space="0"/>
              <w:right w:val="single" w:color="auto" w:sz="4" w:space="0"/>
            </w:tcBorders>
            <w:vAlign w:val="center"/>
          </w:tcPr>
          <w:p w14:paraId="37FC992E">
            <w:pPr>
              <w:ind w:left="141" w:leftChars="67" w:right="48" w:rightChars="23"/>
              <w:jc w:val="center"/>
              <w:rPr>
                <w:rFonts w:ascii="宋体" w:hAnsi="宋体"/>
                <w:color w:val="000000"/>
                <w:szCs w:val="21"/>
              </w:rPr>
            </w:pPr>
            <w:r>
              <w:rPr>
                <w:rFonts w:ascii="宋体" w:hAnsi="宋体"/>
                <w:color w:val="000000"/>
                <w:szCs w:val="21"/>
              </w:rPr>
              <w:t>验证单位</w:t>
            </w:r>
          </w:p>
        </w:tc>
        <w:tc>
          <w:tcPr>
            <w:tcW w:w="2814" w:type="dxa"/>
            <w:tcBorders>
              <w:top w:val="single" w:color="auto" w:sz="4" w:space="0"/>
              <w:left w:val="single" w:color="auto" w:sz="4" w:space="0"/>
              <w:bottom w:val="single" w:color="auto" w:sz="4" w:space="0"/>
              <w:right w:val="single" w:color="auto" w:sz="4" w:space="0"/>
            </w:tcBorders>
            <w:vAlign w:val="center"/>
          </w:tcPr>
          <w:p w14:paraId="708D5A5E">
            <w:pPr>
              <w:jc w:val="center"/>
              <w:rPr>
                <w:rFonts w:ascii="宋体" w:hAnsi="宋体"/>
                <w:color w:val="000000"/>
                <w:szCs w:val="21"/>
              </w:rPr>
            </w:pPr>
            <w:r>
              <w:rPr>
                <w:rFonts w:ascii="宋体" w:hAnsi="宋体"/>
                <w:color w:val="000000"/>
                <w:szCs w:val="21"/>
              </w:rPr>
              <w:t>验证人员</w:t>
            </w:r>
          </w:p>
        </w:tc>
        <w:tc>
          <w:tcPr>
            <w:tcW w:w="2651" w:type="dxa"/>
            <w:tcBorders>
              <w:top w:val="single" w:color="auto" w:sz="4" w:space="0"/>
              <w:left w:val="single" w:color="auto" w:sz="4" w:space="0"/>
              <w:bottom w:val="single" w:color="auto" w:sz="4" w:space="0"/>
              <w:right w:val="single" w:color="auto" w:sz="4" w:space="0"/>
            </w:tcBorders>
            <w:vAlign w:val="center"/>
          </w:tcPr>
          <w:p w14:paraId="79D0C520">
            <w:pPr>
              <w:jc w:val="center"/>
              <w:rPr>
                <w:rFonts w:ascii="宋体" w:hAnsi="宋体"/>
                <w:color w:val="000000"/>
                <w:szCs w:val="21"/>
              </w:rPr>
            </w:pPr>
            <w:r>
              <w:rPr>
                <w:rFonts w:ascii="宋体" w:hAnsi="宋体"/>
                <w:color w:val="000000"/>
                <w:szCs w:val="21"/>
              </w:rPr>
              <w:t>验证时间</w:t>
            </w:r>
          </w:p>
        </w:tc>
      </w:tr>
      <w:tr w14:paraId="5CE649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35" w:hRule="atLeast"/>
        </w:trPr>
        <w:tc>
          <w:tcPr>
            <w:tcW w:w="1800" w:type="dxa"/>
            <w:vMerge w:val="continue"/>
            <w:tcBorders>
              <w:left w:val="single" w:color="auto" w:sz="4" w:space="0"/>
              <w:right w:val="single" w:color="auto" w:sz="4" w:space="0"/>
            </w:tcBorders>
            <w:vAlign w:val="center"/>
          </w:tcPr>
          <w:p w14:paraId="55FE8450">
            <w:pPr>
              <w:ind w:left="141" w:leftChars="67" w:right="48" w:rightChars="23"/>
              <w:jc w:val="center"/>
              <w:rPr>
                <w:rFonts w:ascii="宋体" w:hAnsi="宋体"/>
                <w:color w:val="000000"/>
                <w:szCs w:val="21"/>
              </w:rPr>
            </w:pPr>
          </w:p>
        </w:tc>
        <w:tc>
          <w:tcPr>
            <w:tcW w:w="2360" w:type="dxa"/>
            <w:gridSpan w:val="2"/>
            <w:tcBorders>
              <w:top w:val="single" w:color="auto" w:sz="4" w:space="0"/>
              <w:left w:val="single" w:color="auto" w:sz="4" w:space="0"/>
              <w:bottom w:val="single" w:color="auto" w:sz="4" w:space="0"/>
              <w:right w:val="single" w:color="auto" w:sz="4" w:space="0"/>
            </w:tcBorders>
            <w:vAlign w:val="center"/>
          </w:tcPr>
          <w:p w14:paraId="2026DC83">
            <w:pPr>
              <w:ind w:left="141" w:leftChars="67" w:right="48" w:rightChars="23"/>
              <w:jc w:val="center"/>
              <w:rPr>
                <w:rFonts w:ascii="宋体" w:hAnsi="宋体"/>
                <w:color w:val="000000"/>
                <w:szCs w:val="21"/>
              </w:rPr>
            </w:pPr>
          </w:p>
        </w:tc>
        <w:tc>
          <w:tcPr>
            <w:tcW w:w="2814" w:type="dxa"/>
            <w:tcBorders>
              <w:top w:val="single" w:color="auto" w:sz="4" w:space="0"/>
              <w:left w:val="single" w:color="auto" w:sz="4" w:space="0"/>
              <w:bottom w:val="single" w:color="auto" w:sz="4" w:space="0"/>
              <w:right w:val="single" w:color="auto" w:sz="4" w:space="0"/>
            </w:tcBorders>
            <w:vAlign w:val="center"/>
          </w:tcPr>
          <w:p w14:paraId="0DE65334">
            <w:pPr>
              <w:jc w:val="center"/>
              <w:rPr>
                <w:rFonts w:ascii="宋体" w:hAnsi="宋体"/>
                <w:color w:val="000000"/>
                <w:szCs w:val="21"/>
              </w:rPr>
            </w:pPr>
          </w:p>
        </w:tc>
        <w:tc>
          <w:tcPr>
            <w:tcW w:w="2651" w:type="dxa"/>
            <w:tcBorders>
              <w:top w:val="single" w:color="auto" w:sz="4" w:space="0"/>
              <w:left w:val="single" w:color="auto" w:sz="4" w:space="0"/>
              <w:bottom w:val="single" w:color="auto" w:sz="4" w:space="0"/>
              <w:right w:val="single" w:color="auto" w:sz="4" w:space="0"/>
            </w:tcBorders>
            <w:vAlign w:val="center"/>
          </w:tcPr>
          <w:p w14:paraId="58129B8D">
            <w:pPr>
              <w:wordWrap w:val="0"/>
              <w:jc w:val="right"/>
              <w:rPr>
                <w:rFonts w:ascii="宋体" w:hAnsi="宋体"/>
                <w:color w:val="000000"/>
                <w:szCs w:val="21"/>
              </w:rPr>
            </w:pPr>
            <w:r>
              <w:rPr>
                <w:rFonts w:ascii="宋体" w:hAnsi="宋体"/>
                <w:color w:val="000000"/>
                <w:szCs w:val="21"/>
              </w:rPr>
              <w:t xml:space="preserve"> 年    月   日</w:t>
            </w:r>
          </w:p>
        </w:tc>
      </w:tr>
      <w:tr w14:paraId="42393A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35" w:hRule="atLeast"/>
        </w:trPr>
        <w:tc>
          <w:tcPr>
            <w:tcW w:w="1800" w:type="dxa"/>
            <w:vMerge w:val="continue"/>
            <w:tcBorders>
              <w:left w:val="single" w:color="auto" w:sz="4" w:space="0"/>
              <w:right w:val="single" w:color="auto" w:sz="4" w:space="0"/>
            </w:tcBorders>
            <w:vAlign w:val="center"/>
          </w:tcPr>
          <w:p w14:paraId="09A89A01">
            <w:pPr>
              <w:ind w:left="141" w:leftChars="67" w:right="48" w:rightChars="23"/>
              <w:jc w:val="center"/>
              <w:rPr>
                <w:rFonts w:ascii="宋体" w:hAnsi="宋体"/>
                <w:color w:val="000000"/>
                <w:szCs w:val="21"/>
              </w:rPr>
            </w:pPr>
          </w:p>
        </w:tc>
        <w:tc>
          <w:tcPr>
            <w:tcW w:w="2360" w:type="dxa"/>
            <w:gridSpan w:val="2"/>
            <w:tcBorders>
              <w:top w:val="single" w:color="auto" w:sz="4" w:space="0"/>
              <w:left w:val="single" w:color="auto" w:sz="4" w:space="0"/>
              <w:bottom w:val="single" w:color="auto" w:sz="4" w:space="0"/>
              <w:right w:val="single" w:color="auto" w:sz="4" w:space="0"/>
            </w:tcBorders>
            <w:vAlign w:val="center"/>
          </w:tcPr>
          <w:p w14:paraId="2428DBE0">
            <w:pPr>
              <w:ind w:left="141" w:leftChars="67" w:right="48" w:rightChars="23"/>
              <w:jc w:val="center"/>
              <w:rPr>
                <w:rFonts w:ascii="宋体" w:hAnsi="宋体"/>
                <w:color w:val="000000"/>
                <w:szCs w:val="21"/>
              </w:rPr>
            </w:pPr>
          </w:p>
        </w:tc>
        <w:tc>
          <w:tcPr>
            <w:tcW w:w="2814" w:type="dxa"/>
            <w:tcBorders>
              <w:top w:val="single" w:color="auto" w:sz="4" w:space="0"/>
              <w:left w:val="single" w:color="auto" w:sz="4" w:space="0"/>
              <w:bottom w:val="single" w:color="auto" w:sz="4" w:space="0"/>
              <w:right w:val="single" w:color="auto" w:sz="4" w:space="0"/>
            </w:tcBorders>
            <w:vAlign w:val="center"/>
          </w:tcPr>
          <w:p w14:paraId="4E87ED1A">
            <w:pPr>
              <w:jc w:val="center"/>
              <w:rPr>
                <w:rFonts w:ascii="宋体" w:hAnsi="宋体"/>
                <w:color w:val="000000"/>
                <w:szCs w:val="21"/>
              </w:rPr>
            </w:pPr>
          </w:p>
        </w:tc>
        <w:tc>
          <w:tcPr>
            <w:tcW w:w="2651" w:type="dxa"/>
            <w:tcBorders>
              <w:top w:val="single" w:color="auto" w:sz="4" w:space="0"/>
              <w:left w:val="single" w:color="auto" w:sz="4" w:space="0"/>
              <w:bottom w:val="single" w:color="auto" w:sz="4" w:space="0"/>
              <w:right w:val="single" w:color="auto" w:sz="4" w:space="0"/>
            </w:tcBorders>
          </w:tcPr>
          <w:p w14:paraId="4F9FD849">
            <w:pPr>
              <w:jc w:val="right"/>
              <w:rPr>
                <w:rFonts w:ascii="宋体" w:hAnsi="宋体"/>
                <w:color w:val="000000"/>
                <w:szCs w:val="21"/>
              </w:rPr>
            </w:pPr>
            <w:r>
              <w:rPr>
                <w:rFonts w:ascii="宋体" w:hAnsi="宋体"/>
                <w:color w:val="000000"/>
                <w:szCs w:val="21"/>
              </w:rPr>
              <w:t>年    月   日</w:t>
            </w:r>
          </w:p>
        </w:tc>
      </w:tr>
      <w:tr w14:paraId="5C1A57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35" w:hRule="atLeast"/>
        </w:trPr>
        <w:tc>
          <w:tcPr>
            <w:tcW w:w="1800" w:type="dxa"/>
            <w:vMerge w:val="continue"/>
            <w:tcBorders>
              <w:left w:val="single" w:color="auto" w:sz="4" w:space="0"/>
              <w:right w:val="single" w:color="auto" w:sz="4" w:space="0"/>
            </w:tcBorders>
            <w:vAlign w:val="center"/>
          </w:tcPr>
          <w:p w14:paraId="287A4331">
            <w:pPr>
              <w:ind w:left="141" w:leftChars="67" w:right="48" w:rightChars="23"/>
              <w:jc w:val="center"/>
              <w:rPr>
                <w:rFonts w:ascii="宋体" w:hAnsi="宋体"/>
                <w:color w:val="000000"/>
                <w:szCs w:val="21"/>
              </w:rPr>
            </w:pPr>
          </w:p>
        </w:tc>
        <w:tc>
          <w:tcPr>
            <w:tcW w:w="2360" w:type="dxa"/>
            <w:gridSpan w:val="2"/>
            <w:tcBorders>
              <w:top w:val="single" w:color="auto" w:sz="4" w:space="0"/>
              <w:left w:val="single" w:color="auto" w:sz="4" w:space="0"/>
              <w:bottom w:val="single" w:color="auto" w:sz="4" w:space="0"/>
              <w:right w:val="single" w:color="auto" w:sz="4" w:space="0"/>
            </w:tcBorders>
            <w:vAlign w:val="center"/>
          </w:tcPr>
          <w:p w14:paraId="75707D06">
            <w:pPr>
              <w:ind w:left="141" w:leftChars="67" w:right="48" w:rightChars="23"/>
              <w:jc w:val="center"/>
              <w:rPr>
                <w:rFonts w:ascii="宋体" w:hAnsi="宋体"/>
                <w:color w:val="000000"/>
                <w:szCs w:val="21"/>
              </w:rPr>
            </w:pPr>
          </w:p>
        </w:tc>
        <w:tc>
          <w:tcPr>
            <w:tcW w:w="2814" w:type="dxa"/>
            <w:tcBorders>
              <w:top w:val="single" w:color="auto" w:sz="4" w:space="0"/>
              <w:left w:val="single" w:color="auto" w:sz="4" w:space="0"/>
              <w:bottom w:val="single" w:color="auto" w:sz="4" w:space="0"/>
              <w:right w:val="single" w:color="auto" w:sz="4" w:space="0"/>
            </w:tcBorders>
            <w:vAlign w:val="center"/>
          </w:tcPr>
          <w:p w14:paraId="7779414B">
            <w:pPr>
              <w:jc w:val="center"/>
              <w:rPr>
                <w:rFonts w:ascii="宋体" w:hAnsi="宋体"/>
                <w:color w:val="000000"/>
                <w:szCs w:val="21"/>
              </w:rPr>
            </w:pPr>
          </w:p>
        </w:tc>
        <w:tc>
          <w:tcPr>
            <w:tcW w:w="2651" w:type="dxa"/>
            <w:tcBorders>
              <w:top w:val="single" w:color="auto" w:sz="4" w:space="0"/>
              <w:left w:val="single" w:color="auto" w:sz="4" w:space="0"/>
              <w:bottom w:val="single" w:color="auto" w:sz="4" w:space="0"/>
              <w:right w:val="single" w:color="auto" w:sz="4" w:space="0"/>
            </w:tcBorders>
          </w:tcPr>
          <w:p w14:paraId="01CACCAA">
            <w:pPr>
              <w:jc w:val="right"/>
              <w:rPr>
                <w:rFonts w:ascii="宋体" w:hAnsi="宋体"/>
                <w:color w:val="000000"/>
                <w:szCs w:val="21"/>
              </w:rPr>
            </w:pPr>
            <w:r>
              <w:rPr>
                <w:rFonts w:ascii="宋体" w:hAnsi="宋体"/>
                <w:color w:val="000000"/>
                <w:szCs w:val="21"/>
              </w:rPr>
              <w:t>年    月   日</w:t>
            </w:r>
          </w:p>
        </w:tc>
      </w:tr>
      <w:tr w14:paraId="11DF22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35" w:hRule="atLeast"/>
        </w:trPr>
        <w:tc>
          <w:tcPr>
            <w:tcW w:w="1800" w:type="dxa"/>
            <w:vMerge w:val="continue"/>
            <w:tcBorders>
              <w:left w:val="single" w:color="auto" w:sz="4" w:space="0"/>
              <w:right w:val="single" w:color="auto" w:sz="4" w:space="0"/>
            </w:tcBorders>
            <w:vAlign w:val="center"/>
          </w:tcPr>
          <w:p w14:paraId="7994BC28">
            <w:pPr>
              <w:ind w:left="141" w:leftChars="67" w:right="48" w:rightChars="23"/>
              <w:jc w:val="center"/>
              <w:rPr>
                <w:rFonts w:ascii="宋体" w:hAnsi="宋体"/>
                <w:color w:val="000000"/>
                <w:szCs w:val="21"/>
              </w:rPr>
            </w:pPr>
          </w:p>
        </w:tc>
        <w:tc>
          <w:tcPr>
            <w:tcW w:w="2360" w:type="dxa"/>
            <w:gridSpan w:val="2"/>
            <w:tcBorders>
              <w:top w:val="single" w:color="auto" w:sz="4" w:space="0"/>
              <w:left w:val="single" w:color="auto" w:sz="4" w:space="0"/>
              <w:bottom w:val="single" w:color="auto" w:sz="4" w:space="0"/>
              <w:right w:val="single" w:color="auto" w:sz="4" w:space="0"/>
            </w:tcBorders>
            <w:vAlign w:val="center"/>
          </w:tcPr>
          <w:p w14:paraId="5A03336E">
            <w:pPr>
              <w:ind w:left="141" w:leftChars="67" w:right="48" w:rightChars="23"/>
              <w:jc w:val="center"/>
              <w:rPr>
                <w:rFonts w:ascii="宋体" w:hAnsi="宋体"/>
                <w:color w:val="000000"/>
                <w:szCs w:val="21"/>
              </w:rPr>
            </w:pPr>
          </w:p>
        </w:tc>
        <w:tc>
          <w:tcPr>
            <w:tcW w:w="2814" w:type="dxa"/>
            <w:tcBorders>
              <w:top w:val="single" w:color="auto" w:sz="4" w:space="0"/>
              <w:left w:val="single" w:color="auto" w:sz="4" w:space="0"/>
              <w:bottom w:val="single" w:color="auto" w:sz="4" w:space="0"/>
              <w:right w:val="single" w:color="auto" w:sz="4" w:space="0"/>
            </w:tcBorders>
            <w:vAlign w:val="center"/>
          </w:tcPr>
          <w:p w14:paraId="47D8E830">
            <w:pPr>
              <w:jc w:val="center"/>
              <w:rPr>
                <w:rFonts w:ascii="宋体" w:hAnsi="宋体"/>
                <w:color w:val="000000"/>
                <w:szCs w:val="21"/>
              </w:rPr>
            </w:pPr>
          </w:p>
        </w:tc>
        <w:tc>
          <w:tcPr>
            <w:tcW w:w="2651" w:type="dxa"/>
            <w:tcBorders>
              <w:top w:val="single" w:color="auto" w:sz="4" w:space="0"/>
              <w:left w:val="single" w:color="auto" w:sz="4" w:space="0"/>
              <w:bottom w:val="single" w:color="auto" w:sz="4" w:space="0"/>
              <w:right w:val="single" w:color="auto" w:sz="4" w:space="0"/>
            </w:tcBorders>
          </w:tcPr>
          <w:p w14:paraId="6750627C">
            <w:pPr>
              <w:jc w:val="right"/>
              <w:rPr>
                <w:rFonts w:ascii="宋体" w:hAnsi="宋体"/>
                <w:color w:val="000000"/>
                <w:szCs w:val="21"/>
              </w:rPr>
            </w:pPr>
            <w:r>
              <w:rPr>
                <w:rFonts w:ascii="宋体" w:hAnsi="宋体"/>
                <w:color w:val="000000"/>
                <w:szCs w:val="21"/>
              </w:rPr>
              <w:t>年    月   日</w:t>
            </w:r>
          </w:p>
        </w:tc>
      </w:tr>
      <w:tr w14:paraId="4054A4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776" w:hRule="atLeast"/>
        </w:trPr>
        <w:tc>
          <w:tcPr>
            <w:tcW w:w="1806" w:type="dxa"/>
            <w:gridSpan w:val="2"/>
            <w:tcBorders>
              <w:top w:val="single" w:color="auto" w:sz="4" w:space="0"/>
              <w:left w:val="single" w:color="auto" w:sz="4" w:space="0"/>
              <w:bottom w:val="single" w:color="auto" w:sz="4" w:space="0"/>
              <w:right w:val="single" w:color="auto" w:sz="4" w:space="0"/>
            </w:tcBorders>
            <w:vAlign w:val="center"/>
          </w:tcPr>
          <w:p w14:paraId="3830526D">
            <w:pPr>
              <w:ind w:left="141" w:leftChars="67" w:right="48" w:rightChars="23"/>
              <w:rPr>
                <w:rFonts w:ascii="宋体" w:hAnsi="宋体"/>
                <w:color w:val="000000"/>
                <w:szCs w:val="21"/>
              </w:rPr>
            </w:pPr>
            <w:r>
              <w:rPr>
                <w:rFonts w:ascii="宋体" w:hAnsi="宋体"/>
                <w:color w:val="000000"/>
                <w:szCs w:val="21"/>
              </w:rPr>
              <w:t>5.2</w:t>
            </w:r>
            <w:r>
              <w:rPr>
                <w:rFonts w:hint="eastAsia" w:ascii="宋体" w:hAnsi="宋体"/>
                <w:color w:val="000000"/>
                <w:szCs w:val="21"/>
              </w:rPr>
              <w:t>试验、</w:t>
            </w:r>
            <w:r>
              <w:rPr>
                <w:rFonts w:ascii="宋体" w:hAnsi="宋体"/>
                <w:color w:val="000000"/>
                <w:szCs w:val="21"/>
              </w:rPr>
              <w:t xml:space="preserve"> 验证</w:t>
            </w:r>
            <w:r>
              <w:rPr>
                <w:rFonts w:hint="eastAsia" w:ascii="宋体" w:hAnsi="宋体"/>
                <w:color w:val="000000"/>
                <w:szCs w:val="21"/>
              </w:rPr>
              <w:t>、试行</w:t>
            </w:r>
            <w:r>
              <w:rPr>
                <w:rFonts w:ascii="宋体" w:hAnsi="宋体"/>
                <w:color w:val="000000"/>
                <w:szCs w:val="21"/>
              </w:rPr>
              <w:t>过程</w:t>
            </w:r>
          </w:p>
        </w:tc>
        <w:tc>
          <w:tcPr>
            <w:tcW w:w="7819" w:type="dxa"/>
            <w:gridSpan w:val="3"/>
            <w:tcBorders>
              <w:top w:val="single" w:color="auto" w:sz="4" w:space="0"/>
              <w:left w:val="single" w:color="auto" w:sz="4" w:space="0"/>
              <w:bottom w:val="single" w:color="auto" w:sz="4" w:space="0"/>
              <w:right w:val="single" w:color="auto" w:sz="4" w:space="0"/>
            </w:tcBorders>
            <w:vAlign w:val="center"/>
          </w:tcPr>
          <w:p w14:paraId="30D6ED26">
            <w:pPr>
              <w:rPr>
                <w:rFonts w:ascii="宋体" w:hAnsi="宋体"/>
                <w:color w:val="000000"/>
                <w:szCs w:val="21"/>
              </w:rPr>
            </w:pPr>
          </w:p>
        </w:tc>
      </w:tr>
      <w:tr w14:paraId="25280A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698" w:hRule="atLeast"/>
        </w:trPr>
        <w:tc>
          <w:tcPr>
            <w:tcW w:w="1806" w:type="dxa"/>
            <w:gridSpan w:val="2"/>
            <w:tcBorders>
              <w:top w:val="single" w:color="auto" w:sz="4" w:space="0"/>
              <w:left w:val="single" w:color="auto" w:sz="4" w:space="0"/>
              <w:bottom w:val="single" w:color="auto" w:sz="4" w:space="0"/>
              <w:right w:val="single" w:color="auto" w:sz="4" w:space="0"/>
            </w:tcBorders>
            <w:vAlign w:val="center"/>
          </w:tcPr>
          <w:p w14:paraId="0A3A3FBF">
            <w:pPr>
              <w:ind w:left="141" w:leftChars="67" w:right="48" w:rightChars="23"/>
              <w:rPr>
                <w:rFonts w:ascii="宋体" w:hAnsi="宋体"/>
                <w:color w:val="000000"/>
                <w:szCs w:val="21"/>
              </w:rPr>
            </w:pPr>
            <w:r>
              <w:rPr>
                <w:rFonts w:ascii="宋体" w:hAnsi="宋体"/>
                <w:color w:val="000000"/>
                <w:szCs w:val="21"/>
              </w:rPr>
              <w:t>5.3 验证数据分析</w:t>
            </w:r>
          </w:p>
        </w:tc>
        <w:tc>
          <w:tcPr>
            <w:tcW w:w="7819" w:type="dxa"/>
            <w:gridSpan w:val="3"/>
            <w:tcBorders>
              <w:top w:val="single" w:color="auto" w:sz="4" w:space="0"/>
              <w:left w:val="single" w:color="auto" w:sz="4" w:space="0"/>
              <w:bottom w:val="single" w:color="auto" w:sz="4" w:space="0"/>
              <w:right w:val="single" w:color="auto" w:sz="4" w:space="0"/>
            </w:tcBorders>
            <w:vAlign w:val="center"/>
          </w:tcPr>
          <w:p w14:paraId="77AC3988">
            <w:pPr>
              <w:rPr>
                <w:rFonts w:ascii="宋体" w:hAnsi="宋体"/>
                <w:color w:val="000000"/>
                <w:szCs w:val="21"/>
              </w:rPr>
            </w:pPr>
          </w:p>
        </w:tc>
      </w:tr>
      <w:tr w14:paraId="32C7D6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2119" w:hRule="atLeast"/>
        </w:trPr>
        <w:tc>
          <w:tcPr>
            <w:tcW w:w="1806" w:type="dxa"/>
            <w:gridSpan w:val="2"/>
            <w:tcBorders>
              <w:top w:val="single" w:color="auto" w:sz="4" w:space="0"/>
              <w:left w:val="single" w:color="auto" w:sz="4" w:space="0"/>
              <w:bottom w:val="single" w:color="auto" w:sz="4" w:space="0"/>
              <w:right w:val="single" w:color="auto" w:sz="4" w:space="0"/>
            </w:tcBorders>
            <w:vAlign w:val="center"/>
          </w:tcPr>
          <w:p w14:paraId="0C2C451D">
            <w:pPr>
              <w:ind w:left="141" w:leftChars="67" w:right="48" w:rightChars="23"/>
              <w:rPr>
                <w:rFonts w:ascii="宋体" w:hAnsi="宋体"/>
                <w:color w:val="000000"/>
                <w:szCs w:val="21"/>
              </w:rPr>
            </w:pPr>
            <w:r>
              <w:rPr>
                <w:rFonts w:ascii="宋体" w:hAnsi="宋体"/>
                <w:color w:val="000000"/>
                <w:szCs w:val="21"/>
              </w:rPr>
              <w:t xml:space="preserve">5.4 </w:t>
            </w:r>
            <w:r>
              <w:rPr>
                <w:rFonts w:hint="eastAsia" w:ascii="宋体" w:hAnsi="宋体"/>
                <w:color w:val="000000"/>
                <w:szCs w:val="21"/>
              </w:rPr>
              <w:t>试验、</w:t>
            </w:r>
            <w:r>
              <w:rPr>
                <w:rFonts w:ascii="宋体" w:hAnsi="宋体"/>
                <w:color w:val="000000"/>
                <w:szCs w:val="21"/>
              </w:rPr>
              <w:t>验证</w:t>
            </w:r>
            <w:r>
              <w:rPr>
                <w:rFonts w:hint="eastAsia" w:ascii="宋体" w:hAnsi="宋体"/>
                <w:color w:val="000000"/>
                <w:szCs w:val="21"/>
              </w:rPr>
              <w:t>、试行</w:t>
            </w:r>
            <w:r>
              <w:rPr>
                <w:rFonts w:ascii="宋体" w:hAnsi="宋体"/>
                <w:color w:val="000000"/>
                <w:szCs w:val="21"/>
              </w:rPr>
              <w:t>评价</w:t>
            </w:r>
          </w:p>
        </w:tc>
        <w:tc>
          <w:tcPr>
            <w:tcW w:w="7819" w:type="dxa"/>
            <w:gridSpan w:val="3"/>
            <w:tcBorders>
              <w:top w:val="single" w:color="auto" w:sz="4" w:space="0"/>
              <w:left w:val="single" w:color="auto" w:sz="4" w:space="0"/>
              <w:bottom w:val="single" w:color="auto" w:sz="4" w:space="0"/>
              <w:right w:val="single" w:color="auto" w:sz="4" w:space="0"/>
            </w:tcBorders>
            <w:vAlign w:val="center"/>
          </w:tcPr>
          <w:p w14:paraId="19642ABA">
            <w:pPr>
              <w:rPr>
                <w:rFonts w:ascii="宋体" w:hAnsi="宋体"/>
                <w:color w:val="000000"/>
                <w:szCs w:val="21"/>
              </w:rPr>
            </w:pPr>
          </w:p>
        </w:tc>
      </w:tr>
      <w:tr w14:paraId="499627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3806" w:hRule="atLeast"/>
        </w:trPr>
        <w:tc>
          <w:tcPr>
            <w:tcW w:w="1806" w:type="dxa"/>
            <w:gridSpan w:val="2"/>
            <w:tcBorders>
              <w:top w:val="single" w:color="auto" w:sz="4" w:space="0"/>
              <w:left w:val="single" w:color="auto" w:sz="4" w:space="0"/>
              <w:bottom w:val="single" w:color="auto" w:sz="4" w:space="0"/>
              <w:right w:val="single" w:color="auto" w:sz="4" w:space="0"/>
            </w:tcBorders>
            <w:vAlign w:val="center"/>
          </w:tcPr>
          <w:p w14:paraId="376D3D39">
            <w:pPr>
              <w:ind w:left="141" w:leftChars="67" w:right="48" w:rightChars="23"/>
              <w:rPr>
                <w:rFonts w:ascii="宋体" w:hAnsi="宋体"/>
                <w:color w:val="000000"/>
                <w:szCs w:val="21"/>
              </w:rPr>
            </w:pPr>
            <w:r>
              <w:rPr>
                <w:rFonts w:ascii="宋体" w:hAnsi="宋体"/>
                <w:color w:val="000000"/>
                <w:szCs w:val="21"/>
              </w:rPr>
              <w:t>5.5 其他应说明的情况</w:t>
            </w:r>
          </w:p>
        </w:tc>
        <w:tc>
          <w:tcPr>
            <w:tcW w:w="7819" w:type="dxa"/>
            <w:gridSpan w:val="3"/>
            <w:tcBorders>
              <w:top w:val="single" w:color="auto" w:sz="4" w:space="0"/>
              <w:left w:val="single" w:color="auto" w:sz="4" w:space="0"/>
              <w:bottom w:val="single" w:color="auto" w:sz="4" w:space="0"/>
              <w:right w:val="single" w:color="auto" w:sz="4" w:space="0"/>
            </w:tcBorders>
            <w:vAlign w:val="center"/>
          </w:tcPr>
          <w:p w14:paraId="74D279C3">
            <w:pPr>
              <w:rPr>
                <w:rFonts w:ascii="宋体" w:hAnsi="宋体"/>
                <w:color w:val="000000"/>
                <w:szCs w:val="21"/>
              </w:rPr>
            </w:pPr>
          </w:p>
        </w:tc>
      </w:tr>
    </w:tbl>
    <w:p w14:paraId="207CD8D0">
      <w:pPr>
        <w:rPr>
          <w:rFonts w:eastAsia="仿宋_GB2312"/>
          <w:b/>
          <w:color w:val="000000"/>
          <w:kern w:val="0"/>
          <w:sz w:val="32"/>
        </w:rPr>
      </w:pPr>
    </w:p>
    <w:tbl>
      <w:tblPr>
        <w:tblStyle w:val="38"/>
        <w:tblpPr w:leftFromText="180" w:rightFromText="180" w:vertAnchor="text" w:horzAnchor="margin" w:tblpXSpec="center" w:tblpY="169"/>
        <w:tblW w:w="962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794"/>
        <w:gridCol w:w="6"/>
        <w:gridCol w:w="1288"/>
        <w:gridCol w:w="1080"/>
        <w:gridCol w:w="1620"/>
        <w:gridCol w:w="1440"/>
        <w:gridCol w:w="2397"/>
      </w:tblGrid>
      <w:tr w14:paraId="555BEC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58" w:hRule="atLeast"/>
        </w:trPr>
        <w:tc>
          <w:tcPr>
            <w:tcW w:w="9625" w:type="dxa"/>
            <w:gridSpan w:val="7"/>
            <w:tcBorders>
              <w:top w:val="nil"/>
              <w:left w:val="nil"/>
              <w:bottom w:val="nil"/>
              <w:right w:val="nil"/>
            </w:tcBorders>
            <w:vAlign w:val="center"/>
          </w:tcPr>
          <w:p w14:paraId="7096698B">
            <w:pPr>
              <w:rPr>
                <w:rFonts w:ascii="宋体" w:hAnsi="宋体"/>
                <w:b/>
                <w:color w:val="000000"/>
                <w:szCs w:val="21"/>
              </w:rPr>
            </w:pPr>
            <w:r>
              <w:rPr>
                <w:rFonts w:hint="eastAsia" w:ascii="宋体" w:hAnsi="宋体"/>
                <w:b/>
                <w:color w:val="000000"/>
                <w:szCs w:val="21"/>
              </w:rPr>
              <w:t>6  附加说明（可选项）</w:t>
            </w:r>
          </w:p>
        </w:tc>
      </w:tr>
      <w:tr w14:paraId="31CC99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975" w:hRule="atLeast"/>
        </w:trPr>
        <w:tc>
          <w:tcPr>
            <w:tcW w:w="1794" w:type="dxa"/>
            <w:tcBorders>
              <w:top w:val="single" w:color="auto" w:sz="4" w:space="0"/>
              <w:left w:val="single" w:color="auto" w:sz="4" w:space="0"/>
              <w:bottom w:val="single" w:color="auto" w:sz="4" w:space="0"/>
              <w:right w:val="single" w:color="auto" w:sz="4" w:space="0"/>
            </w:tcBorders>
            <w:vAlign w:val="center"/>
          </w:tcPr>
          <w:p w14:paraId="428770CB">
            <w:pPr>
              <w:ind w:left="141" w:leftChars="67" w:right="176" w:rightChars="84"/>
              <w:rPr>
                <w:rFonts w:ascii="宋体" w:hAnsi="宋体"/>
                <w:color w:val="000000"/>
                <w:szCs w:val="21"/>
              </w:rPr>
            </w:pPr>
            <w:r>
              <w:rPr>
                <w:rFonts w:ascii="宋体" w:hAnsi="宋体"/>
                <w:color w:val="000000"/>
                <w:szCs w:val="21"/>
              </w:rPr>
              <w:t>6.1 宣贯标准的建议</w:t>
            </w:r>
          </w:p>
        </w:tc>
        <w:tc>
          <w:tcPr>
            <w:tcW w:w="7831" w:type="dxa"/>
            <w:gridSpan w:val="6"/>
            <w:tcBorders>
              <w:top w:val="single" w:color="auto" w:sz="4" w:space="0"/>
              <w:left w:val="single" w:color="auto" w:sz="4" w:space="0"/>
              <w:bottom w:val="single" w:color="auto" w:sz="4" w:space="0"/>
              <w:right w:val="single" w:color="auto" w:sz="4" w:space="0"/>
            </w:tcBorders>
            <w:vAlign w:val="center"/>
          </w:tcPr>
          <w:p w14:paraId="60FF00BF">
            <w:pPr>
              <w:rPr>
                <w:rFonts w:ascii="宋体" w:hAnsi="宋体"/>
                <w:color w:val="000000"/>
                <w:szCs w:val="21"/>
              </w:rPr>
            </w:pPr>
          </w:p>
        </w:tc>
      </w:tr>
      <w:tr w14:paraId="4EA782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838" w:hRule="atLeast"/>
        </w:trPr>
        <w:tc>
          <w:tcPr>
            <w:tcW w:w="1794" w:type="dxa"/>
            <w:tcBorders>
              <w:top w:val="single" w:color="auto" w:sz="4" w:space="0"/>
              <w:left w:val="single" w:color="auto" w:sz="4" w:space="0"/>
              <w:bottom w:val="single" w:color="auto" w:sz="4" w:space="0"/>
              <w:right w:val="single" w:color="auto" w:sz="4" w:space="0"/>
            </w:tcBorders>
            <w:vAlign w:val="center"/>
          </w:tcPr>
          <w:p w14:paraId="1138BF5C">
            <w:pPr>
              <w:ind w:left="141" w:leftChars="67" w:right="176" w:rightChars="84"/>
              <w:rPr>
                <w:rFonts w:ascii="宋体" w:hAnsi="宋体"/>
                <w:color w:val="000000"/>
                <w:szCs w:val="21"/>
              </w:rPr>
            </w:pPr>
            <w:r>
              <w:rPr>
                <w:rFonts w:ascii="宋体" w:hAnsi="宋体"/>
                <w:color w:val="000000"/>
                <w:szCs w:val="21"/>
              </w:rPr>
              <w:t>6.2 修订和废除现行有关标准的建议</w:t>
            </w:r>
          </w:p>
        </w:tc>
        <w:tc>
          <w:tcPr>
            <w:tcW w:w="7831" w:type="dxa"/>
            <w:gridSpan w:val="6"/>
            <w:tcBorders>
              <w:top w:val="single" w:color="auto" w:sz="4" w:space="0"/>
              <w:left w:val="single" w:color="auto" w:sz="4" w:space="0"/>
              <w:bottom w:val="single" w:color="auto" w:sz="4" w:space="0"/>
              <w:right w:val="single" w:color="auto" w:sz="4" w:space="0"/>
            </w:tcBorders>
            <w:vAlign w:val="center"/>
          </w:tcPr>
          <w:p w14:paraId="4911E5BE">
            <w:pPr>
              <w:rPr>
                <w:rFonts w:ascii="宋体" w:hAnsi="宋体"/>
                <w:color w:val="000000"/>
                <w:szCs w:val="21"/>
              </w:rPr>
            </w:pPr>
          </w:p>
        </w:tc>
      </w:tr>
      <w:tr w14:paraId="7DC342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2174" w:hRule="atLeast"/>
        </w:trPr>
        <w:tc>
          <w:tcPr>
            <w:tcW w:w="1794" w:type="dxa"/>
            <w:tcBorders>
              <w:top w:val="single" w:color="auto" w:sz="4" w:space="0"/>
              <w:left w:val="single" w:color="auto" w:sz="4" w:space="0"/>
              <w:bottom w:val="single" w:color="auto" w:sz="4" w:space="0"/>
              <w:right w:val="single" w:color="auto" w:sz="4" w:space="0"/>
            </w:tcBorders>
            <w:vAlign w:val="center"/>
          </w:tcPr>
          <w:p w14:paraId="0B3869EF">
            <w:pPr>
              <w:ind w:left="141" w:leftChars="67" w:right="176" w:rightChars="84"/>
              <w:rPr>
                <w:rFonts w:ascii="宋体" w:hAnsi="宋体"/>
                <w:color w:val="000000"/>
                <w:szCs w:val="21"/>
              </w:rPr>
            </w:pPr>
            <w:r>
              <w:rPr>
                <w:rFonts w:ascii="宋体" w:hAnsi="宋体"/>
                <w:color w:val="000000"/>
                <w:szCs w:val="21"/>
              </w:rPr>
              <w:t>6.</w:t>
            </w:r>
            <w:r>
              <w:rPr>
                <w:rFonts w:hint="eastAsia" w:ascii="宋体" w:hAnsi="宋体"/>
                <w:color w:val="000000"/>
                <w:szCs w:val="21"/>
              </w:rPr>
              <w:t>3重大分歧意见的处理经过和依据</w:t>
            </w:r>
          </w:p>
        </w:tc>
        <w:tc>
          <w:tcPr>
            <w:tcW w:w="7831" w:type="dxa"/>
            <w:gridSpan w:val="6"/>
            <w:tcBorders>
              <w:top w:val="single" w:color="auto" w:sz="4" w:space="0"/>
              <w:left w:val="single" w:color="auto" w:sz="4" w:space="0"/>
              <w:bottom w:val="single" w:color="auto" w:sz="4" w:space="0"/>
              <w:right w:val="single" w:color="auto" w:sz="4" w:space="0"/>
            </w:tcBorders>
            <w:vAlign w:val="center"/>
          </w:tcPr>
          <w:p w14:paraId="0E44BAE9">
            <w:pPr>
              <w:rPr>
                <w:rFonts w:ascii="宋体" w:hAnsi="宋体"/>
                <w:color w:val="000000"/>
                <w:szCs w:val="21"/>
              </w:rPr>
            </w:pPr>
          </w:p>
        </w:tc>
      </w:tr>
      <w:tr w14:paraId="044635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736" w:hRule="atLeast"/>
        </w:trPr>
        <w:tc>
          <w:tcPr>
            <w:tcW w:w="1794" w:type="dxa"/>
            <w:tcBorders>
              <w:top w:val="single" w:color="auto" w:sz="4" w:space="0"/>
              <w:left w:val="single" w:color="auto" w:sz="4" w:space="0"/>
              <w:bottom w:val="single" w:color="auto" w:sz="4" w:space="0"/>
              <w:right w:val="single" w:color="auto" w:sz="4" w:space="0"/>
            </w:tcBorders>
            <w:vAlign w:val="center"/>
          </w:tcPr>
          <w:p w14:paraId="46D187A3">
            <w:pPr>
              <w:ind w:left="141" w:leftChars="67" w:right="176" w:rightChars="84"/>
              <w:rPr>
                <w:rFonts w:ascii="宋体" w:hAnsi="宋体"/>
                <w:color w:val="000000"/>
                <w:szCs w:val="21"/>
              </w:rPr>
            </w:pPr>
            <w:r>
              <w:rPr>
                <w:rFonts w:ascii="宋体" w:hAnsi="宋体"/>
                <w:color w:val="000000"/>
                <w:szCs w:val="21"/>
              </w:rPr>
              <w:t>6.4 其他需要说明的情况</w:t>
            </w:r>
          </w:p>
        </w:tc>
        <w:tc>
          <w:tcPr>
            <w:tcW w:w="7831" w:type="dxa"/>
            <w:gridSpan w:val="6"/>
            <w:tcBorders>
              <w:top w:val="single" w:color="auto" w:sz="4" w:space="0"/>
              <w:left w:val="single" w:color="auto" w:sz="4" w:space="0"/>
              <w:bottom w:val="single" w:color="auto" w:sz="4" w:space="0"/>
              <w:right w:val="single" w:color="auto" w:sz="4" w:space="0"/>
            </w:tcBorders>
            <w:vAlign w:val="center"/>
          </w:tcPr>
          <w:p w14:paraId="6F4D51C0">
            <w:pPr>
              <w:rPr>
                <w:rFonts w:ascii="宋体" w:hAnsi="宋体"/>
                <w:color w:val="000000"/>
                <w:szCs w:val="21"/>
              </w:rPr>
            </w:pPr>
          </w:p>
        </w:tc>
      </w:tr>
      <w:tr w14:paraId="754164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721" w:hRule="atLeast"/>
        </w:trPr>
        <w:tc>
          <w:tcPr>
            <w:tcW w:w="1794" w:type="dxa"/>
            <w:tcBorders>
              <w:top w:val="single" w:color="auto" w:sz="4" w:space="0"/>
              <w:left w:val="single" w:color="auto" w:sz="4" w:space="0"/>
              <w:bottom w:val="single" w:color="auto" w:sz="4" w:space="0"/>
              <w:right w:val="single" w:color="auto" w:sz="4" w:space="0"/>
            </w:tcBorders>
            <w:vAlign w:val="center"/>
          </w:tcPr>
          <w:p w14:paraId="1476A875">
            <w:pPr>
              <w:ind w:left="141" w:leftChars="67" w:right="176" w:rightChars="84"/>
              <w:rPr>
                <w:rFonts w:ascii="宋体" w:hAnsi="宋体"/>
                <w:color w:val="000000"/>
                <w:szCs w:val="21"/>
              </w:rPr>
            </w:pPr>
            <w:r>
              <w:rPr>
                <w:rFonts w:ascii="宋体" w:hAnsi="宋体"/>
                <w:color w:val="000000"/>
                <w:szCs w:val="21"/>
              </w:rPr>
              <w:t>6.5 参考文献</w:t>
            </w:r>
          </w:p>
        </w:tc>
        <w:tc>
          <w:tcPr>
            <w:tcW w:w="7831" w:type="dxa"/>
            <w:gridSpan w:val="6"/>
            <w:tcBorders>
              <w:top w:val="single" w:color="auto" w:sz="4" w:space="0"/>
              <w:left w:val="single" w:color="auto" w:sz="4" w:space="0"/>
              <w:bottom w:val="single" w:color="auto" w:sz="4" w:space="0"/>
              <w:right w:val="single" w:color="auto" w:sz="4" w:space="0"/>
            </w:tcBorders>
            <w:vAlign w:val="center"/>
          </w:tcPr>
          <w:p w14:paraId="272944CE">
            <w:pPr>
              <w:rPr>
                <w:rFonts w:ascii="宋体" w:hAnsi="宋体"/>
                <w:color w:val="000000"/>
                <w:szCs w:val="21"/>
              </w:rPr>
            </w:pPr>
          </w:p>
        </w:tc>
      </w:tr>
      <w:tr w14:paraId="7555D9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95" w:hRule="atLeast"/>
        </w:trPr>
        <w:tc>
          <w:tcPr>
            <w:tcW w:w="1800" w:type="dxa"/>
            <w:gridSpan w:val="2"/>
            <w:tcBorders>
              <w:top w:val="single" w:color="auto" w:sz="4" w:space="0"/>
              <w:left w:val="single" w:color="auto" w:sz="4" w:space="0"/>
              <w:bottom w:val="single" w:color="auto" w:sz="4" w:space="0"/>
              <w:right w:val="single" w:color="auto" w:sz="4" w:space="0"/>
            </w:tcBorders>
            <w:vAlign w:val="center"/>
          </w:tcPr>
          <w:p w14:paraId="68B6C8BE">
            <w:pPr>
              <w:jc w:val="center"/>
              <w:rPr>
                <w:rFonts w:ascii="宋体" w:hAnsi="宋体"/>
                <w:color w:val="000000"/>
                <w:szCs w:val="21"/>
              </w:rPr>
            </w:pPr>
            <w:r>
              <w:rPr>
                <w:rFonts w:ascii="宋体" w:hAnsi="宋体"/>
                <w:color w:val="000000"/>
                <w:szCs w:val="21"/>
              </w:rPr>
              <w:t>联系人</w:t>
            </w:r>
          </w:p>
        </w:tc>
        <w:tc>
          <w:tcPr>
            <w:tcW w:w="1288" w:type="dxa"/>
            <w:tcBorders>
              <w:top w:val="single" w:color="auto" w:sz="4" w:space="0"/>
              <w:left w:val="single" w:color="auto" w:sz="4" w:space="0"/>
              <w:bottom w:val="single" w:color="auto" w:sz="4" w:space="0"/>
              <w:right w:val="single" w:color="auto" w:sz="4" w:space="0"/>
            </w:tcBorders>
            <w:vAlign w:val="center"/>
          </w:tcPr>
          <w:p w14:paraId="474019BC">
            <w:pPr>
              <w:jc w:val="center"/>
              <w:rPr>
                <w:rFonts w:ascii="宋体" w:hAnsi="宋体"/>
                <w:color w:val="000000"/>
                <w:szCs w:val="21"/>
              </w:rPr>
            </w:pPr>
          </w:p>
        </w:tc>
        <w:tc>
          <w:tcPr>
            <w:tcW w:w="1080" w:type="dxa"/>
            <w:tcBorders>
              <w:top w:val="single" w:color="auto" w:sz="4" w:space="0"/>
              <w:left w:val="single" w:color="auto" w:sz="4" w:space="0"/>
              <w:bottom w:val="single" w:color="auto" w:sz="4" w:space="0"/>
              <w:right w:val="single" w:color="auto" w:sz="4" w:space="0"/>
            </w:tcBorders>
            <w:vAlign w:val="center"/>
          </w:tcPr>
          <w:p w14:paraId="01280CAE">
            <w:pPr>
              <w:jc w:val="center"/>
              <w:rPr>
                <w:rFonts w:ascii="宋体" w:hAnsi="宋体"/>
                <w:color w:val="000000"/>
                <w:szCs w:val="21"/>
              </w:rPr>
            </w:pPr>
            <w:r>
              <w:rPr>
                <w:rFonts w:ascii="宋体" w:hAnsi="宋体"/>
                <w:color w:val="000000"/>
                <w:szCs w:val="21"/>
              </w:rPr>
              <w:t>联系电话</w:t>
            </w:r>
          </w:p>
        </w:tc>
        <w:tc>
          <w:tcPr>
            <w:tcW w:w="1620" w:type="dxa"/>
            <w:tcBorders>
              <w:top w:val="single" w:color="auto" w:sz="4" w:space="0"/>
              <w:left w:val="single" w:color="auto" w:sz="4" w:space="0"/>
              <w:bottom w:val="single" w:color="auto" w:sz="4" w:space="0"/>
              <w:right w:val="single" w:color="auto" w:sz="4" w:space="0"/>
            </w:tcBorders>
            <w:vAlign w:val="center"/>
          </w:tcPr>
          <w:p w14:paraId="787B1858">
            <w:pPr>
              <w:rPr>
                <w:rFonts w:ascii="宋体" w:hAnsi="宋体"/>
                <w:color w:val="000000"/>
                <w:szCs w:val="21"/>
              </w:rPr>
            </w:pPr>
          </w:p>
        </w:tc>
        <w:tc>
          <w:tcPr>
            <w:tcW w:w="1440" w:type="dxa"/>
            <w:tcBorders>
              <w:top w:val="single" w:color="auto" w:sz="4" w:space="0"/>
              <w:left w:val="single" w:color="auto" w:sz="4" w:space="0"/>
              <w:bottom w:val="single" w:color="auto" w:sz="4" w:space="0"/>
              <w:right w:val="single" w:color="auto" w:sz="4" w:space="0"/>
            </w:tcBorders>
            <w:vAlign w:val="center"/>
          </w:tcPr>
          <w:p w14:paraId="2561DD76">
            <w:pPr>
              <w:jc w:val="center"/>
              <w:rPr>
                <w:rFonts w:ascii="宋体" w:hAnsi="宋体"/>
                <w:color w:val="000000"/>
                <w:szCs w:val="21"/>
              </w:rPr>
            </w:pPr>
            <w:r>
              <w:rPr>
                <w:rFonts w:ascii="宋体" w:hAnsi="宋体"/>
                <w:color w:val="000000"/>
                <w:szCs w:val="21"/>
              </w:rPr>
              <w:t>电子邮箱</w:t>
            </w:r>
          </w:p>
        </w:tc>
        <w:tc>
          <w:tcPr>
            <w:tcW w:w="2397" w:type="dxa"/>
            <w:tcBorders>
              <w:top w:val="single" w:color="auto" w:sz="4" w:space="0"/>
              <w:left w:val="single" w:color="auto" w:sz="4" w:space="0"/>
              <w:bottom w:val="single" w:color="auto" w:sz="4" w:space="0"/>
              <w:right w:val="single" w:color="auto" w:sz="4" w:space="0"/>
            </w:tcBorders>
            <w:vAlign w:val="center"/>
          </w:tcPr>
          <w:p w14:paraId="3679AFB1">
            <w:pPr>
              <w:jc w:val="center"/>
              <w:rPr>
                <w:rFonts w:ascii="宋体" w:hAnsi="宋体"/>
                <w:color w:val="000000"/>
                <w:szCs w:val="21"/>
              </w:rPr>
            </w:pPr>
          </w:p>
        </w:tc>
      </w:tr>
      <w:tr w14:paraId="4918A7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95" w:hRule="atLeast"/>
        </w:trPr>
        <w:tc>
          <w:tcPr>
            <w:tcW w:w="9625" w:type="dxa"/>
            <w:gridSpan w:val="7"/>
            <w:tcBorders>
              <w:top w:val="single" w:color="auto" w:sz="4" w:space="0"/>
              <w:left w:val="single" w:color="auto" w:sz="4" w:space="0"/>
              <w:bottom w:val="single" w:color="auto" w:sz="4" w:space="0"/>
              <w:right w:val="single" w:color="auto" w:sz="4" w:space="0"/>
            </w:tcBorders>
            <w:vAlign w:val="center"/>
          </w:tcPr>
          <w:p w14:paraId="79780A9F">
            <w:pPr>
              <w:adjustRightInd w:val="0"/>
              <w:spacing w:before="60" w:line="360" w:lineRule="auto"/>
              <w:ind w:firstLine="441" w:firstLineChars="210"/>
              <w:rPr>
                <w:rFonts w:ascii="宋体" w:hAnsi="宋体"/>
                <w:color w:val="000000"/>
                <w:szCs w:val="21"/>
              </w:rPr>
            </w:pPr>
            <w:r>
              <w:rPr>
                <w:rFonts w:ascii="宋体" w:hAnsi="宋体"/>
                <w:color w:val="000000"/>
                <w:szCs w:val="21"/>
              </w:rPr>
              <w:t>注1：本</w:t>
            </w:r>
            <w:r>
              <w:rPr>
                <w:rFonts w:hint="eastAsia" w:ascii="宋体" w:hAnsi="宋体"/>
                <w:color w:val="000000"/>
                <w:szCs w:val="21"/>
              </w:rPr>
              <w:t>格式</w:t>
            </w:r>
            <w:r>
              <w:rPr>
                <w:rFonts w:ascii="宋体" w:hAnsi="宋体"/>
                <w:color w:val="000000"/>
                <w:szCs w:val="21"/>
              </w:rPr>
              <w:t>的</w:t>
            </w:r>
            <w:r>
              <w:rPr>
                <w:rFonts w:hint="eastAsia" w:ascii="宋体" w:hAnsi="宋体"/>
                <w:color w:val="000000"/>
                <w:szCs w:val="21"/>
              </w:rPr>
              <w:t>通用</w:t>
            </w:r>
            <w:r>
              <w:rPr>
                <w:rFonts w:ascii="宋体" w:hAnsi="宋体"/>
                <w:color w:val="000000"/>
                <w:szCs w:val="21"/>
              </w:rPr>
              <w:t>部分为第1章、第2章、第4章和第6章。</w:t>
            </w:r>
          </w:p>
          <w:p w14:paraId="0D3C8028">
            <w:pPr>
              <w:adjustRightInd w:val="0"/>
              <w:spacing w:before="60" w:line="360" w:lineRule="auto"/>
              <w:ind w:firstLine="441" w:firstLineChars="210"/>
              <w:rPr>
                <w:rFonts w:ascii="宋体" w:hAnsi="宋体"/>
                <w:color w:val="000000"/>
                <w:szCs w:val="21"/>
              </w:rPr>
            </w:pPr>
            <w:r>
              <w:rPr>
                <w:rFonts w:ascii="宋体" w:hAnsi="宋体"/>
                <w:color w:val="000000"/>
                <w:szCs w:val="21"/>
              </w:rPr>
              <w:t>注2：3.4适用于标准草案送审稿，3.5适用于标准草案报批稿，3.6中</w:t>
            </w:r>
            <w:r>
              <w:rPr>
                <w:rFonts w:hint="eastAsia" w:ascii="宋体" w:hAnsi="宋体"/>
                <w:color w:val="000000"/>
                <w:szCs w:val="21"/>
              </w:rPr>
              <w:t>“</w:t>
            </w:r>
            <w:r>
              <w:rPr>
                <w:rFonts w:ascii="宋体" w:hAnsi="宋体"/>
                <w:color w:val="000000"/>
                <w:szCs w:val="21"/>
              </w:rPr>
              <w:t>预期的管理目标</w:t>
            </w:r>
            <w:r>
              <w:rPr>
                <w:rFonts w:hint="eastAsia" w:ascii="宋体" w:hAnsi="宋体"/>
                <w:color w:val="000000"/>
                <w:szCs w:val="21"/>
              </w:rPr>
              <w:t>”</w:t>
            </w:r>
            <w:r>
              <w:rPr>
                <w:rFonts w:ascii="宋体" w:hAnsi="宋体"/>
                <w:color w:val="000000"/>
                <w:szCs w:val="21"/>
              </w:rPr>
              <w:t>适用于规程类标准，3.6中</w:t>
            </w:r>
            <w:r>
              <w:rPr>
                <w:rFonts w:hint="eastAsia" w:ascii="宋体" w:hAnsi="宋体"/>
                <w:color w:val="000000"/>
                <w:szCs w:val="21"/>
              </w:rPr>
              <w:t>“</w:t>
            </w:r>
            <w:r>
              <w:rPr>
                <w:rFonts w:ascii="宋体" w:hAnsi="宋体"/>
                <w:color w:val="000000"/>
                <w:szCs w:val="21"/>
              </w:rPr>
              <w:t>技术指标</w:t>
            </w:r>
            <w:r>
              <w:rPr>
                <w:rFonts w:hint="eastAsia" w:ascii="宋体" w:hAnsi="宋体"/>
                <w:color w:val="000000"/>
                <w:szCs w:val="21"/>
              </w:rPr>
              <w:t>”</w:t>
            </w:r>
            <w:r>
              <w:rPr>
                <w:rFonts w:ascii="宋体" w:hAnsi="宋体"/>
                <w:color w:val="000000"/>
                <w:szCs w:val="21"/>
              </w:rPr>
              <w:t>适用于方法类标准，第5章适用于方法类标准编制说明的编写。</w:t>
            </w:r>
          </w:p>
          <w:p w14:paraId="650D44E3">
            <w:pPr>
              <w:adjustRightInd w:val="0"/>
              <w:spacing w:before="60" w:line="360" w:lineRule="auto"/>
              <w:ind w:firstLine="441" w:firstLineChars="210"/>
              <w:rPr>
                <w:rFonts w:ascii="宋体" w:hAnsi="宋体"/>
                <w:color w:val="000000"/>
                <w:szCs w:val="21"/>
              </w:rPr>
            </w:pPr>
            <w:r>
              <w:rPr>
                <w:rFonts w:ascii="宋体" w:hAnsi="宋体"/>
                <w:color w:val="000000"/>
                <w:szCs w:val="21"/>
              </w:rPr>
              <w:t>注3：3.1和第6章为可选项，其余为必填项。</w:t>
            </w:r>
          </w:p>
        </w:tc>
      </w:tr>
      <w:tr w14:paraId="2D45B8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95" w:hRule="atLeast"/>
        </w:trPr>
        <w:tc>
          <w:tcPr>
            <w:tcW w:w="9625" w:type="dxa"/>
            <w:gridSpan w:val="7"/>
            <w:tcBorders>
              <w:top w:val="single" w:color="auto" w:sz="4" w:space="0"/>
              <w:left w:val="nil"/>
              <w:bottom w:val="nil"/>
              <w:right w:val="nil"/>
            </w:tcBorders>
            <w:vAlign w:val="center"/>
          </w:tcPr>
          <w:p w14:paraId="51EA86E4">
            <w:pPr>
              <w:wordWrap w:val="0"/>
              <w:ind w:right="480"/>
              <w:jc w:val="right"/>
              <w:rPr>
                <w:rFonts w:ascii="宋体" w:hAnsi="宋体"/>
                <w:color w:val="000000"/>
                <w:szCs w:val="21"/>
              </w:rPr>
            </w:pPr>
            <w:r>
              <w:rPr>
                <w:rFonts w:ascii="宋体" w:hAnsi="宋体"/>
                <w:color w:val="000000"/>
                <w:szCs w:val="21"/>
              </w:rPr>
              <w:t>编写日期：    年    月    日</w:t>
            </w:r>
          </w:p>
        </w:tc>
      </w:tr>
    </w:tbl>
    <w:p w14:paraId="66CCF151">
      <w:pPr>
        <w:rPr>
          <w:rFonts w:eastAsia="方正仿宋简体"/>
          <w:b/>
          <w:snapToGrid w:val="0"/>
          <w:color w:val="000000"/>
          <w:kern w:val="0"/>
          <w:sz w:val="32"/>
          <w:szCs w:val="32"/>
        </w:rPr>
      </w:pPr>
    </w:p>
    <w:sectPr>
      <w:headerReference r:id="rId3" w:type="default"/>
      <w:footerReference r:id="rId4" w:type="default"/>
      <w:footerReference r:id="rId5" w:type="even"/>
      <w:pgSz w:w="11907" w:h="16840"/>
      <w:pgMar w:top="1758" w:right="1418" w:bottom="1758" w:left="1418" w:header="851" w:footer="1134" w:gutter="0"/>
      <w:pgNumType w:start="1"/>
      <w:cols w:space="720" w:num="1"/>
      <w:titlePg/>
      <w:docGrid w:linePitch="291" w:charSpace="-378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ˎ̥">
    <w:altName w:val="Times New Roman"/>
    <w:panose1 w:val="00000000000000000000"/>
    <w:charset w:val="00"/>
    <w:family w:val="auto"/>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font>
  <w:font w:name="方正仿宋简体">
    <w:panose1 w:val="02010601030101010101"/>
    <w:charset w:val="86"/>
    <w:family w:val="auto"/>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7D4868">
    <w:pPr>
      <w:pStyle w:val="29"/>
      <w:jc w:val="center"/>
      <w:rPr>
        <w:sz w:val="24"/>
        <w:szCs w:val="24"/>
      </w:rPr>
    </w:pPr>
    <w:r>
      <w:rPr>
        <w:rFonts w:hint="eastAsia"/>
        <w:sz w:val="24"/>
        <w:szCs w:val="24"/>
      </w:rPr>
      <w:t>-</w:t>
    </w:r>
    <w:r>
      <w:rPr>
        <w:sz w:val="24"/>
        <w:szCs w:val="24"/>
      </w:rPr>
      <w:fldChar w:fldCharType="begin"/>
    </w:r>
    <w:r>
      <w:rPr>
        <w:sz w:val="24"/>
        <w:szCs w:val="24"/>
      </w:rPr>
      <w:instrText xml:space="preserve"> PAGE   \* MERGEFORMAT </w:instrText>
    </w:r>
    <w:r>
      <w:rPr>
        <w:sz w:val="24"/>
        <w:szCs w:val="24"/>
      </w:rPr>
      <w:fldChar w:fldCharType="separate"/>
    </w:r>
    <w:r>
      <w:rPr>
        <w:sz w:val="24"/>
        <w:szCs w:val="24"/>
        <w:lang w:val="zh-CN"/>
      </w:rPr>
      <w:t>2</w:t>
    </w:r>
    <w:r>
      <w:rPr>
        <w:sz w:val="24"/>
        <w:szCs w:val="24"/>
      </w:rPr>
      <w:fldChar w:fldCharType="end"/>
    </w:r>
    <w:r>
      <w:rPr>
        <w:rFonts w:hint="eastAsia"/>
        <w:sz w:val="24"/>
        <w:szCs w:val="24"/>
      </w:rPr>
      <w:t>-</w:t>
    </w:r>
  </w:p>
  <w:p w14:paraId="254F88A3">
    <w:pPr>
      <w:pStyle w:val="2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7775E1">
    <w:pPr>
      <w:pStyle w:val="29"/>
      <w:framePr w:wrap="around" w:vAnchor="text" w:hAnchor="margin" w:xAlign="center" w:y="1"/>
      <w:rPr>
        <w:rStyle w:val="41"/>
      </w:rPr>
    </w:pPr>
    <w:r>
      <w:fldChar w:fldCharType="begin"/>
    </w:r>
    <w:r>
      <w:rPr>
        <w:rStyle w:val="41"/>
      </w:rPr>
      <w:instrText xml:space="preserve">PAGE  </w:instrText>
    </w:r>
    <w:r>
      <w:fldChar w:fldCharType="end"/>
    </w:r>
  </w:p>
  <w:p w14:paraId="24F22580">
    <w:pPr>
      <w:pStyle w:val="79"/>
      <w:ind w:right="360"/>
      <w:rPr>
        <w:rStyle w:val="41"/>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AD68CA">
    <w:pPr>
      <w:pStyle w:val="3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0A15CD"/>
    <w:multiLevelType w:val="multilevel"/>
    <w:tmpl w:val="040A15CD"/>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pStyle w:val="66"/>
      <w:suff w:val="nothing"/>
      <w:lvlText w:val="%1%2.%3.%4　"/>
      <w:lvlJc w:val="left"/>
      <w:pPr>
        <w:ind w:left="0" w:firstLine="0"/>
      </w:pPr>
      <w:rPr>
        <w:rFonts w:hint="eastAsia" w:ascii="黑体" w:hAnsi="Times New Roman" w:eastAsia="黑体"/>
        <w:b w:val="0"/>
        <w:i w:val="0"/>
        <w:sz w:val="21"/>
      </w:rPr>
    </w:lvl>
    <w:lvl w:ilvl="4" w:tentative="0">
      <w:start w:val="1"/>
      <w:numFmt w:val="decimal"/>
      <w:pStyle w:val="107"/>
      <w:suff w:val="nothing"/>
      <w:lvlText w:val="%1%2.%3.%4.%5　"/>
      <w:lvlJc w:val="left"/>
      <w:pPr>
        <w:ind w:left="0" w:firstLine="0"/>
      </w:pPr>
      <w:rPr>
        <w:rFonts w:hint="eastAsia" w:ascii="黑体" w:hAnsi="Times New Roman" w:eastAsia="黑体"/>
        <w:b w:val="0"/>
        <w:i w:val="0"/>
        <w:sz w:val="21"/>
      </w:rPr>
    </w:lvl>
    <w:lvl w:ilvl="5" w:tentative="0">
      <w:start w:val="1"/>
      <w:numFmt w:val="decimal"/>
      <w:pStyle w:val="110"/>
      <w:suff w:val="nothing"/>
      <w:lvlText w:val="%1%2.%3.%4.%5.%6　"/>
      <w:lvlJc w:val="left"/>
      <w:pPr>
        <w:ind w:left="0" w:firstLine="0"/>
      </w:pPr>
      <w:rPr>
        <w:rFonts w:hint="eastAsia" w:ascii="黑体" w:hAnsi="Times New Roman" w:eastAsia="黑体"/>
        <w:b w:val="0"/>
        <w:i w:val="0"/>
        <w:sz w:val="21"/>
      </w:rPr>
    </w:lvl>
    <w:lvl w:ilvl="6" w:tentative="0">
      <w:start w:val="1"/>
      <w:numFmt w:val="decimal"/>
      <w:pStyle w:val="116"/>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AE367E9"/>
    <w:multiLevelType w:val="multilevel"/>
    <w:tmpl w:val="0AE367E9"/>
    <w:lvl w:ilvl="0" w:tentative="0">
      <w:start w:val="1"/>
      <w:numFmt w:val="none"/>
      <w:pStyle w:val="65"/>
      <w:lvlText w:val="%1示例"/>
      <w:lvlJc w:val="left"/>
      <w:pPr>
        <w:tabs>
          <w:tab w:val="left" w:pos="1120"/>
        </w:tabs>
        <w:ind w:left="0" w:firstLine="400"/>
      </w:pPr>
      <w:rPr>
        <w:rFonts w:hint="eastAsia" w:ascii="宋体"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407E65F9"/>
    <w:multiLevelType w:val="multilevel"/>
    <w:tmpl w:val="407E65F9"/>
    <w:lvl w:ilvl="0" w:tentative="0">
      <w:start w:val="1"/>
      <w:numFmt w:val="none"/>
      <w:pStyle w:val="104"/>
      <w:lvlText w:val="%1·　"/>
      <w:lvlJc w:val="left"/>
      <w:pPr>
        <w:tabs>
          <w:tab w:val="left" w:pos="1140"/>
        </w:tabs>
        <w:ind w:left="737" w:hanging="317"/>
      </w:pPr>
      <w:rPr>
        <w:rFonts w:hint="eastAsia" w:ascii="宋体" w:hAnsi="Times New Roman" w:eastAsia="宋体"/>
        <w:b w:val="0"/>
        <w:i w:val="0"/>
        <w:sz w:val="21"/>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3">
    <w:nsid w:val="496E4D7B"/>
    <w:multiLevelType w:val="multilevel"/>
    <w:tmpl w:val="496E4D7B"/>
    <w:lvl w:ilvl="0" w:tentative="0">
      <w:start w:val="1"/>
      <w:numFmt w:val="none"/>
      <w:pStyle w:val="121"/>
      <w:lvlText w:val="%1注"/>
      <w:lvlJc w:val="left"/>
      <w:pPr>
        <w:tabs>
          <w:tab w:val="left" w:pos="900"/>
        </w:tabs>
        <w:ind w:left="900" w:hanging="50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557C2AF5"/>
    <w:multiLevelType w:val="multilevel"/>
    <w:tmpl w:val="557C2AF5"/>
    <w:lvl w:ilvl="0" w:tentative="0">
      <w:start w:val="1"/>
      <w:numFmt w:val="decimal"/>
      <w:pStyle w:val="119"/>
      <w:suff w:val="nothing"/>
      <w:lvlText w:val="图%1　"/>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5">
    <w:nsid w:val="646260FA"/>
    <w:multiLevelType w:val="multilevel"/>
    <w:tmpl w:val="646260FA"/>
    <w:lvl w:ilvl="0" w:tentative="0">
      <w:start w:val="1"/>
      <w:numFmt w:val="decimal"/>
      <w:pStyle w:val="118"/>
      <w:suff w:val="nothing"/>
      <w:lvlText w:val="表%1　"/>
      <w:lvlJc w:val="left"/>
      <w:pPr>
        <w:ind w:left="0" w:firstLine="0"/>
      </w:pPr>
      <w:rPr>
        <w:rFonts w:hint="eastAsia" w:ascii="黑体" w:hAnsi="Times New Roman" w:eastAsia="黑体"/>
        <w:b w:val="0"/>
        <w:i w:val="0"/>
        <w:sz w:val="21"/>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6">
    <w:nsid w:val="657D3FBC"/>
    <w:multiLevelType w:val="multilevel"/>
    <w:tmpl w:val="657D3FBC"/>
    <w:lvl w:ilvl="0" w:tentative="0">
      <w:start w:val="1"/>
      <w:numFmt w:val="upperLetter"/>
      <w:pStyle w:val="100"/>
      <w:suff w:val="nothing"/>
      <w:lvlText w:val="附　录　%1"/>
      <w:lvlJc w:val="left"/>
      <w:pPr>
        <w:ind w:left="0" w:firstLine="0"/>
      </w:pPr>
      <w:rPr>
        <w:rFonts w:hint="eastAsia" w:ascii="黑体" w:hAnsi="Times New Roman" w:eastAsia="黑体"/>
        <w:b w:val="0"/>
        <w:i w:val="0"/>
        <w:sz w:val="21"/>
      </w:rPr>
    </w:lvl>
    <w:lvl w:ilvl="1" w:tentative="0">
      <w:start w:val="1"/>
      <w:numFmt w:val="decimal"/>
      <w:pStyle w:val="75"/>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74"/>
      <w:suff w:val="nothing"/>
      <w:lvlText w:val="%1.%2.%3　"/>
      <w:lvlJc w:val="left"/>
      <w:pPr>
        <w:ind w:left="0" w:firstLine="0"/>
      </w:pPr>
      <w:rPr>
        <w:rFonts w:hint="eastAsia" w:ascii="黑体" w:hAnsi="Times New Roman" w:eastAsia="黑体"/>
        <w:b w:val="0"/>
        <w:i w:val="0"/>
        <w:sz w:val="21"/>
      </w:rPr>
    </w:lvl>
    <w:lvl w:ilvl="3" w:tentative="0">
      <w:start w:val="1"/>
      <w:numFmt w:val="decimal"/>
      <w:pStyle w:val="73"/>
      <w:suff w:val="nothing"/>
      <w:lvlText w:val="%1.%2.%3.%4　"/>
      <w:lvlJc w:val="left"/>
      <w:pPr>
        <w:ind w:left="0" w:firstLine="0"/>
      </w:pPr>
      <w:rPr>
        <w:rFonts w:hint="eastAsia" w:ascii="黑体" w:hAnsi="Times New Roman" w:eastAsia="黑体"/>
        <w:b w:val="0"/>
        <w:i w:val="0"/>
        <w:sz w:val="21"/>
      </w:rPr>
    </w:lvl>
    <w:lvl w:ilvl="4" w:tentative="0">
      <w:start w:val="1"/>
      <w:numFmt w:val="decimal"/>
      <w:pStyle w:val="72"/>
      <w:suff w:val="nothing"/>
      <w:lvlText w:val="%1.%2.%3.%4.%5　"/>
      <w:lvlJc w:val="left"/>
      <w:pPr>
        <w:ind w:left="0" w:firstLine="0"/>
      </w:pPr>
      <w:rPr>
        <w:rFonts w:hint="eastAsia" w:ascii="黑体" w:hAnsi="Times New Roman" w:eastAsia="黑体"/>
        <w:b w:val="0"/>
        <w:i w:val="0"/>
        <w:sz w:val="21"/>
      </w:rPr>
    </w:lvl>
    <w:lvl w:ilvl="5" w:tentative="0">
      <w:start w:val="1"/>
      <w:numFmt w:val="decimal"/>
      <w:pStyle w:val="71"/>
      <w:suff w:val="nothing"/>
      <w:lvlText w:val="%1.%2.%3.%4.%5.%6　"/>
      <w:lvlJc w:val="left"/>
      <w:pPr>
        <w:ind w:left="0" w:firstLine="0"/>
      </w:pPr>
      <w:rPr>
        <w:rFonts w:hint="eastAsia" w:ascii="黑体" w:hAnsi="Times New Roman" w:eastAsia="黑体"/>
        <w:b w:val="0"/>
        <w:i w:val="0"/>
        <w:sz w:val="21"/>
      </w:rPr>
    </w:lvl>
    <w:lvl w:ilvl="6" w:tentative="0">
      <w:start w:val="1"/>
      <w:numFmt w:val="decimal"/>
      <w:pStyle w:val="83"/>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7">
    <w:nsid w:val="6CEA2025"/>
    <w:multiLevelType w:val="multilevel"/>
    <w:tmpl w:val="6CEA2025"/>
    <w:lvl w:ilvl="0" w:tentative="0">
      <w:start w:val="1"/>
      <w:numFmt w:val="none"/>
      <w:pStyle w:val="78"/>
      <w:suff w:val="nothing"/>
      <w:lvlText w:val="%1"/>
      <w:lvlJc w:val="left"/>
      <w:pPr>
        <w:ind w:left="0" w:firstLine="0"/>
      </w:pPr>
      <w:rPr>
        <w:rFonts w:hint="default" w:ascii="Times New Roman" w:hAnsi="Times New Roman"/>
        <w:b/>
        <w:i w:val="0"/>
        <w:sz w:val="21"/>
      </w:rPr>
    </w:lvl>
    <w:lvl w:ilvl="1" w:tentative="0">
      <w:start w:val="1"/>
      <w:numFmt w:val="decimal"/>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pStyle w:val="80"/>
      <w:suff w:val="nothing"/>
      <w:lvlText w:val="%1%2.%3.%4.%5　"/>
      <w:lvlJc w:val="left"/>
      <w:pPr>
        <w:ind w:left="0" w:firstLine="0"/>
      </w:pPr>
      <w:rPr>
        <w:rFonts w:hint="eastAsia" w:ascii="黑体" w:hAnsi="Times New Roman" w:eastAsia="黑体"/>
        <w:b w:val="0"/>
        <w:i w:val="0"/>
        <w:sz w:val="21"/>
      </w:rPr>
    </w:lvl>
    <w:lvl w:ilvl="5" w:tentative="0">
      <w:start w:val="1"/>
      <w:numFmt w:val="decimal"/>
      <w:pStyle w:val="109"/>
      <w:suff w:val="nothing"/>
      <w:lvlText w:val="%1%2.%3.%4.%5.%6　"/>
      <w:lvlJc w:val="left"/>
      <w:pPr>
        <w:ind w:left="0" w:firstLine="0"/>
      </w:pPr>
      <w:rPr>
        <w:rFonts w:hint="eastAsia" w:ascii="黑体" w:hAnsi="Times New Roman" w:eastAsia="黑体"/>
        <w:b w:val="0"/>
        <w:i w:val="0"/>
        <w:sz w:val="21"/>
      </w:rPr>
    </w:lvl>
    <w:lvl w:ilvl="6" w:tentative="0">
      <w:start w:val="1"/>
      <w:numFmt w:val="decimal"/>
      <w:pStyle w:val="115"/>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8">
    <w:nsid w:val="6DBF04F4"/>
    <w:multiLevelType w:val="multilevel"/>
    <w:tmpl w:val="6DBF04F4"/>
    <w:lvl w:ilvl="0" w:tentative="0">
      <w:start w:val="1"/>
      <w:numFmt w:val="none"/>
      <w:pStyle w:val="120"/>
      <w:lvlText w:val="%1注："/>
      <w:lvlJc w:val="left"/>
      <w:pPr>
        <w:tabs>
          <w:tab w:val="left" w:pos="1140"/>
        </w:tabs>
        <w:ind w:left="840" w:hanging="42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76933334"/>
    <w:multiLevelType w:val="multilevel"/>
    <w:tmpl w:val="76933334"/>
    <w:lvl w:ilvl="0" w:tentative="0">
      <w:start w:val="1"/>
      <w:numFmt w:val="none"/>
      <w:pStyle w:val="103"/>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0"/>
  </w:num>
  <w:num w:numId="3">
    <w:abstractNumId w:val="6"/>
  </w:num>
  <w:num w:numId="4">
    <w:abstractNumId w:val="7"/>
  </w:num>
  <w:num w:numId="5">
    <w:abstractNumId w:val="9"/>
  </w:num>
  <w:num w:numId="6">
    <w:abstractNumId w:val="2"/>
  </w:num>
  <w:num w:numId="7">
    <w:abstractNumId w:val="5"/>
  </w:num>
  <w:num w:numId="8">
    <w:abstractNumId w:val="4"/>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oNotDisplayPageBoundaries w:val="1"/>
  <w:embedSystemFonts/>
  <w:bordersDoNotSurroundHeader w:val="0"/>
  <w:bordersDoNotSurroundFooter w:val="0"/>
  <w:documentProtection w:enforcement="0"/>
  <w:defaultTabStop w:val="420"/>
  <w:drawingGridHorizontalSpacing w:val="96"/>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600"/>
    <w:rsid w:val="00001AD5"/>
    <w:rsid w:val="00003491"/>
    <w:rsid w:val="000037D2"/>
    <w:rsid w:val="000065A1"/>
    <w:rsid w:val="00012C67"/>
    <w:rsid w:val="00014276"/>
    <w:rsid w:val="00015100"/>
    <w:rsid w:val="00020D33"/>
    <w:rsid w:val="00021C6E"/>
    <w:rsid w:val="00022D05"/>
    <w:rsid w:val="00023A0F"/>
    <w:rsid w:val="0002669E"/>
    <w:rsid w:val="00027415"/>
    <w:rsid w:val="000449B0"/>
    <w:rsid w:val="00047546"/>
    <w:rsid w:val="000501FC"/>
    <w:rsid w:val="000555F5"/>
    <w:rsid w:val="00056034"/>
    <w:rsid w:val="00060C30"/>
    <w:rsid w:val="0006511B"/>
    <w:rsid w:val="00066DF5"/>
    <w:rsid w:val="00067912"/>
    <w:rsid w:val="00072C62"/>
    <w:rsid w:val="00076838"/>
    <w:rsid w:val="00076FE5"/>
    <w:rsid w:val="000913AA"/>
    <w:rsid w:val="00091710"/>
    <w:rsid w:val="00091BBF"/>
    <w:rsid w:val="00095480"/>
    <w:rsid w:val="000A1245"/>
    <w:rsid w:val="000A1780"/>
    <w:rsid w:val="000A408A"/>
    <w:rsid w:val="000A5135"/>
    <w:rsid w:val="000A6CE1"/>
    <w:rsid w:val="000A702B"/>
    <w:rsid w:val="000B15F1"/>
    <w:rsid w:val="000B3B53"/>
    <w:rsid w:val="000C795D"/>
    <w:rsid w:val="000C7D1E"/>
    <w:rsid w:val="000D0D61"/>
    <w:rsid w:val="000D11AC"/>
    <w:rsid w:val="000D14F2"/>
    <w:rsid w:val="000D5EB5"/>
    <w:rsid w:val="000D6845"/>
    <w:rsid w:val="000E0F71"/>
    <w:rsid w:val="000E1472"/>
    <w:rsid w:val="000E5568"/>
    <w:rsid w:val="000F0490"/>
    <w:rsid w:val="000F1C53"/>
    <w:rsid w:val="000F234E"/>
    <w:rsid w:val="000F3D81"/>
    <w:rsid w:val="000F788D"/>
    <w:rsid w:val="00100BB8"/>
    <w:rsid w:val="00101C16"/>
    <w:rsid w:val="00104AC8"/>
    <w:rsid w:val="00105177"/>
    <w:rsid w:val="00105B9F"/>
    <w:rsid w:val="00107566"/>
    <w:rsid w:val="0011003E"/>
    <w:rsid w:val="00111A00"/>
    <w:rsid w:val="00114105"/>
    <w:rsid w:val="00115CB3"/>
    <w:rsid w:val="001206FE"/>
    <w:rsid w:val="00121083"/>
    <w:rsid w:val="00122F0F"/>
    <w:rsid w:val="00126B2A"/>
    <w:rsid w:val="0012777A"/>
    <w:rsid w:val="00132A68"/>
    <w:rsid w:val="001331D7"/>
    <w:rsid w:val="00135A95"/>
    <w:rsid w:val="00143336"/>
    <w:rsid w:val="00143401"/>
    <w:rsid w:val="00143C40"/>
    <w:rsid w:val="00145CC3"/>
    <w:rsid w:val="0015079E"/>
    <w:rsid w:val="00152D7E"/>
    <w:rsid w:val="00154115"/>
    <w:rsid w:val="00156A94"/>
    <w:rsid w:val="00162151"/>
    <w:rsid w:val="001621BF"/>
    <w:rsid w:val="00162298"/>
    <w:rsid w:val="00163D2E"/>
    <w:rsid w:val="00172A27"/>
    <w:rsid w:val="00173798"/>
    <w:rsid w:val="00173E8B"/>
    <w:rsid w:val="00174E25"/>
    <w:rsid w:val="00176EB9"/>
    <w:rsid w:val="001828C2"/>
    <w:rsid w:val="00182D68"/>
    <w:rsid w:val="001903A2"/>
    <w:rsid w:val="00195AED"/>
    <w:rsid w:val="001970C8"/>
    <w:rsid w:val="00197999"/>
    <w:rsid w:val="001A0134"/>
    <w:rsid w:val="001A168A"/>
    <w:rsid w:val="001B17CC"/>
    <w:rsid w:val="001B3EB1"/>
    <w:rsid w:val="001B7439"/>
    <w:rsid w:val="001C0680"/>
    <w:rsid w:val="001C0B8E"/>
    <w:rsid w:val="001C384F"/>
    <w:rsid w:val="001C7ACD"/>
    <w:rsid w:val="001D2338"/>
    <w:rsid w:val="001D717A"/>
    <w:rsid w:val="001E37A6"/>
    <w:rsid w:val="001E6600"/>
    <w:rsid w:val="001F162E"/>
    <w:rsid w:val="001F46BE"/>
    <w:rsid w:val="001F6DDE"/>
    <w:rsid w:val="001F7A0C"/>
    <w:rsid w:val="002045D5"/>
    <w:rsid w:val="0020499A"/>
    <w:rsid w:val="0020534B"/>
    <w:rsid w:val="00213480"/>
    <w:rsid w:val="002139D7"/>
    <w:rsid w:val="002146D1"/>
    <w:rsid w:val="00214AD8"/>
    <w:rsid w:val="00215982"/>
    <w:rsid w:val="00216A3B"/>
    <w:rsid w:val="00221686"/>
    <w:rsid w:val="00222AC5"/>
    <w:rsid w:val="00225EC8"/>
    <w:rsid w:val="00232FD3"/>
    <w:rsid w:val="00234591"/>
    <w:rsid w:val="00234D6C"/>
    <w:rsid w:val="00243D10"/>
    <w:rsid w:val="00245229"/>
    <w:rsid w:val="00245893"/>
    <w:rsid w:val="00246E3B"/>
    <w:rsid w:val="00247988"/>
    <w:rsid w:val="00250799"/>
    <w:rsid w:val="00251D4A"/>
    <w:rsid w:val="002526E1"/>
    <w:rsid w:val="00257071"/>
    <w:rsid w:val="00270414"/>
    <w:rsid w:val="00271B36"/>
    <w:rsid w:val="00273C64"/>
    <w:rsid w:val="002763D0"/>
    <w:rsid w:val="002826DE"/>
    <w:rsid w:val="002831FC"/>
    <w:rsid w:val="00287E6F"/>
    <w:rsid w:val="00291E81"/>
    <w:rsid w:val="00292F15"/>
    <w:rsid w:val="00292F8E"/>
    <w:rsid w:val="00294EC4"/>
    <w:rsid w:val="002A140C"/>
    <w:rsid w:val="002A1BF1"/>
    <w:rsid w:val="002A43A2"/>
    <w:rsid w:val="002A67B6"/>
    <w:rsid w:val="002B1A70"/>
    <w:rsid w:val="002B3036"/>
    <w:rsid w:val="002B4AF7"/>
    <w:rsid w:val="002C1971"/>
    <w:rsid w:val="002C2941"/>
    <w:rsid w:val="002C5CE4"/>
    <w:rsid w:val="002D02E7"/>
    <w:rsid w:val="002D20F2"/>
    <w:rsid w:val="002D5E7E"/>
    <w:rsid w:val="002D67E2"/>
    <w:rsid w:val="002D6ED0"/>
    <w:rsid w:val="002E1947"/>
    <w:rsid w:val="002E28C5"/>
    <w:rsid w:val="002E35BF"/>
    <w:rsid w:val="002F0DE6"/>
    <w:rsid w:val="002F45EE"/>
    <w:rsid w:val="002F4B74"/>
    <w:rsid w:val="0030073B"/>
    <w:rsid w:val="00305AC4"/>
    <w:rsid w:val="00306CBC"/>
    <w:rsid w:val="003073C7"/>
    <w:rsid w:val="00312A0F"/>
    <w:rsid w:val="00312A4B"/>
    <w:rsid w:val="003131D2"/>
    <w:rsid w:val="00313385"/>
    <w:rsid w:val="00314FAB"/>
    <w:rsid w:val="00321005"/>
    <w:rsid w:val="003227D7"/>
    <w:rsid w:val="0032534D"/>
    <w:rsid w:val="00326368"/>
    <w:rsid w:val="003279F1"/>
    <w:rsid w:val="003346EE"/>
    <w:rsid w:val="0033484C"/>
    <w:rsid w:val="00341376"/>
    <w:rsid w:val="00344552"/>
    <w:rsid w:val="00347C8B"/>
    <w:rsid w:val="00351452"/>
    <w:rsid w:val="00353543"/>
    <w:rsid w:val="003536C8"/>
    <w:rsid w:val="003546C0"/>
    <w:rsid w:val="00354A7F"/>
    <w:rsid w:val="003559F6"/>
    <w:rsid w:val="0036009E"/>
    <w:rsid w:val="0036599B"/>
    <w:rsid w:val="00371C18"/>
    <w:rsid w:val="00371E4A"/>
    <w:rsid w:val="00371EBB"/>
    <w:rsid w:val="003751BA"/>
    <w:rsid w:val="003827ED"/>
    <w:rsid w:val="00384733"/>
    <w:rsid w:val="00385748"/>
    <w:rsid w:val="00386047"/>
    <w:rsid w:val="003863F3"/>
    <w:rsid w:val="0039611D"/>
    <w:rsid w:val="00397098"/>
    <w:rsid w:val="00397D76"/>
    <w:rsid w:val="003A39B9"/>
    <w:rsid w:val="003A5BC3"/>
    <w:rsid w:val="003A6A58"/>
    <w:rsid w:val="003B2404"/>
    <w:rsid w:val="003B3287"/>
    <w:rsid w:val="003B39C8"/>
    <w:rsid w:val="003B42E9"/>
    <w:rsid w:val="003B4BA1"/>
    <w:rsid w:val="003C19CA"/>
    <w:rsid w:val="003C31BD"/>
    <w:rsid w:val="003C49BC"/>
    <w:rsid w:val="003C5970"/>
    <w:rsid w:val="003C5AC1"/>
    <w:rsid w:val="003D1718"/>
    <w:rsid w:val="003D4B7D"/>
    <w:rsid w:val="003D4CCE"/>
    <w:rsid w:val="003D599A"/>
    <w:rsid w:val="003D5A36"/>
    <w:rsid w:val="003E5D78"/>
    <w:rsid w:val="003E6942"/>
    <w:rsid w:val="003E7769"/>
    <w:rsid w:val="003E7BC0"/>
    <w:rsid w:val="003F3CC1"/>
    <w:rsid w:val="00401712"/>
    <w:rsid w:val="00403580"/>
    <w:rsid w:val="004056C2"/>
    <w:rsid w:val="00406723"/>
    <w:rsid w:val="004079C8"/>
    <w:rsid w:val="004135E4"/>
    <w:rsid w:val="0042117C"/>
    <w:rsid w:val="0042404B"/>
    <w:rsid w:val="0043582D"/>
    <w:rsid w:val="00436CEC"/>
    <w:rsid w:val="00437DF0"/>
    <w:rsid w:val="004422EA"/>
    <w:rsid w:val="00443250"/>
    <w:rsid w:val="004506A0"/>
    <w:rsid w:val="00456308"/>
    <w:rsid w:val="00456AB0"/>
    <w:rsid w:val="00463DF6"/>
    <w:rsid w:val="00467A0C"/>
    <w:rsid w:val="0047255A"/>
    <w:rsid w:val="0047426C"/>
    <w:rsid w:val="0047467F"/>
    <w:rsid w:val="00476640"/>
    <w:rsid w:val="004821FE"/>
    <w:rsid w:val="0048765D"/>
    <w:rsid w:val="00487F12"/>
    <w:rsid w:val="00491B3A"/>
    <w:rsid w:val="00491FFA"/>
    <w:rsid w:val="004934E6"/>
    <w:rsid w:val="00493893"/>
    <w:rsid w:val="004938A1"/>
    <w:rsid w:val="0049599B"/>
    <w:rsid w:val="004A0D8A"/>
    <w:rsid w:val="004A4FDC"/>
    <w:rsid w:val="004B4B4C"/>
    <w:rsid w:val="004B5246"/>
    <w:rsid w:val="004C215F"/>
    <w:rsid w:val="004C2557"/>
    <w:rsid w:val="004C70B5"/>
    <w:rsid w:val="004D5E39"/>
    <w:rsid w:val="004D6095"/>
    <w:rsid w:val="004D6444"/>
    <w:rsid w:val="004D7338"/>
    <w:rsid w:val="004E40CE"/>
    <w:rsid w:val="004F05BF"/>
    <w:rsid w:val="004F5D98"/>
    <w:rsid w:val="004F642A"/>
    <w:rsid w:val="00505DB1"/>
    <w:rsid w:val="00506F87"/>
    <w:rsid w:val="00507B92"/>
    <w:rsid w:val="00510BC3"/>
    <w:rsid w:val="00512A9D"/>
    <w:rsid w:val="005135AC"/>
    <w:rsid w:val="005176CC"/>
    <w:rsid w:val="00544603"/>
    <w:rsid w:val="005454CE"/>
    <w:rsid w:val="0055147E"/>
    <w:rsid w:val="005548F8"/>
    <w:rsid w:val="00555303"/>
    <w:rsid w:val="00557671"/>
    <w:rsid w:val="005647BF"/>
    <w:rsid w:val="00574AE5"/>
    <w:rsid w:val="00576510"/>
    <w:rsid w:val="0057659A"/>
    <w:rsid w:val="00583CCC"/>
    <w:rsid w:val="00585419"/>
    <w:rsid w:val="005867C4"/>
    <w:rsid w:val="00590B1C"/>
    <w:rsid w:val="005925DF"/>
    <w:rsid w:val="00593BEA"/>
    <w:rsid w:val="005945B8"/>
    <w:rsid w:val="005A0E0F"/>
    <w:rsid w:val="005A24E0"/>
    <w:rsid w:val="005A63BF"/>
    <w:rsid w:val="005A66CB"/>
    <w:rsid w:val="005A785A"/>
    <w:rsid w:val="005B0C1C"/>
    <w:rsid w:val="005B2144"/>
    <w:rsid w:val="005B2F38"/>
    <w:rsid w:val="005B2FD0"/>
    <w:rsid w:val="005B4EFD"/>
    <w:rsid w:val="005B7535"/>
    <w:rsid w:val="005C0DE9"/>
    <w:rsid w:val="005C13F6"/>
    <w:rsid w:val="005C53B1"/>
    <w:rsid w:val="005C5985"/>
    <w:rsid w:val="005C5B5A"/>
    <w:rsid w:val="005C67C9"/>
    <w:rsid w:val="005C7441"/>
    <w:rsid w:val="005D32C5"/>
    <w:rsid w:val="005E0C0B"/>
    <w:rsid w:val="005E128E"/>
    <w:rsid w:val="005E2069"/>
    <w:rsid w:val="005E51A3"/>
    <w:rsid w:val="005E65B3"/>
    <w:rsid w:val="005E750F"/>
    <w:rsid w:val="005E77FA"/>
    <w:rsid w:val="005F05C9"/>
    <w:rsid w:val="005F3142"/>
    <w:rsid w:val="005F3175"/>
    <w:rsid w:val="005F4E57"/>
    <w:rsid w:val="005F5C81"/>
    <w:rsid w:val="005F68C4"/>
    <w:rsid w:val="005F6AE2"/>
    <w:rsid w:val="005F7888"/>
    <w:rsid w:val="0060176C"/>
    <w:rsid w:val="00607E57"/>
    <w:rsid w:val="00613BB2"/>
    <w:rsid w:val="0061433E"/>
    <w:rsid w:val="00620635"/>
    <w:rsid w:val="00623DF3"/>
    <w:rsid w:val="00630A22"/>
    <w:rsid w:val="006313C2"/>
    <w:rsid w:val="0063419D"/>
    <w:rsid w:val="006350A9"/>
    <w:rsid w:val="00635D61"/>
    <w:rsid w:val="00641B49"/>
    <w:rsid w:val="00642188"/>
    <w:rsid w:val="006429BD"/>
    <w:rsid w:val="00644DB7"/>
    <w:rsid w:val="00647235"/>
    <w:rsid w:val="00650490"/>
    <w:rsid w:val="00652828"/>
    <w:rsid w:val="0065388D"/>
    <w:rsid w:val="00653ED1"/>
    <w:rsid w:val="00655105"/>
    <w:rsid w:val="00656FC3"/>
    <w:rsid w:val="0066079F"/>
    <w:rsid w:val="00661134"/>
    <w:rsid w:val="00662B24"/>
    <w:rsid w:val="00663563"/>
    <w:rsid w:val="0066430B"/>
    <w:rsid w:val="00664FC1"/>
    <w:rsid w:val="006661EF"/>
    <w:rsid w:val="006676B9"/>
    <w:rsid w:val="0067052E"/>
    <w:rsid w:val="0067328A"/>
    <w:rsid w:val="006759B1"/>
    <w:rsid w:val="0067614A"/>
    <w:rsid w:val="0067788D"/>
    <w:rsid w:val="00681855"/>
    <w:rsid w:val="006860D7"/>
    <w:rsid w:val="00686B9D"/>
    <w:rsid w:val="006903B2"/>
    <w:rsid w:val="00691C85"/>
    <w:rsid w:val="00692E9D"/>
    <w:rsid w:val="00693010"/>
    <w:rsid w:val="0069459D"/>
    <w:rsid w:val="00694984"/>
    <w:rsid w:val="006A03B7"/>
    <w:rsid w:val="006A667F"/>
    <w:rsid w:val="006B1DD6"/>
    <w:rsid w:val="006B35CD"/>
    <w:rsid w:val="006B44C8"/>
    <w:rsid w:val="006C2FDA"/>
    <w:rsid w:val="006C3803"/>
    <w:rsid w:val="006C7A34"/>
    <w:rsid w:val="006D0147"/>
    <w:rsid w:val="006D2EC0"/>
    <w:rsid w:val="006D45A2"/>
    <w:rsid w:val="006E2E08"/>
    <w:rsid w:val="006E5264"/>
    <w:rsid w:val="006E7099"/>
    <w:rsid w:val="006F1EFE"/>
    <w:rsid w:val="006F2C6B"/>
    <w:rsid w:val="006F3306"/>
    <w:rsid w:val="007008F7"/>
    <w:rsid w:val="00702FA1"/>
    <w:rsid w:val="00703861"/>
    <w:rsid w:val="00704585"/>
    <w:rsid w:val="00706E5C"/>
    <w:rsid w:val="0070711B"/>
    <w:rsid w:val="007074BB"/>
    <w:rsid w:val="00707920"/>
    <w:rsid w:val="00712D66"/>
    <w:rsid w:val="00713ADE"/>
    <w:rsid w:val="007158CA"/>
    <w:rsid w:val="00715923"/>
    <w:rsid w:val="00720BC2"/>
    <w:rsid w:val="00721258"/>
    <w:rsid w:val="00721780"/>
    <w:rsid w:val="00721EC6"/>
    <w:rsid w:val="007233AC"/>
    <w:rsid w:val="00723488"/>
    <w:rsid w:val="007239E8"/>
    <w:rsid w:val="00725B7B"/>
    <w:rsid w:val="007323E9"/>
    <w:rsid w:val="00733651"/>
    <w:rsid w:val="00734716"/>
    <w:rsid w:val="00735BCB"/>
    <w:rsid w:val="0073613C"/>
    <w:rsid w:val="007377DC"/>
    <w:rsid w:val="00744594"/>
    <w:rsid w:val="0075336B"/>
    <w:rsid w:val="00753E95"/>
    <w:rsid w:val="00757041"/>
    <w:rsid w:val="00760D8C"/>
    <w:rsid w:val="007701D5"/>
    <w:rsid w:val="00770A66"/>
    <w:rsid w:val="00772F48"/>
    <w:rsid w:val="00775B4F"/>
    <w:rsid w:val="007853F1"/>
    <w:rsid w:val="007925DD"/>
    <w:rsid w:val="00794C03"/>
    <w:rsid w:val="00796417"/>
    <w:rsid w:val="007A381A"/>
    <w:rsid w:val="007A4AA1"/>
    <w:rsid w:val="007A5A57"/>
    <w:rsid w:val="007A659B"/>
    <w:rsid w:val="007A679E"/>
    <w:rsid w:val="007B0B2B"/>
    <w:rsid w:val="007B271C"/>
    <w:rsid w:val="007B75E7"/>
    <w:rsid w:val="007C02F8"/>
    <w:rsid w:val="007C09FA"/>
    <w:rsid w:val="007C0E4F"/>
    <w:rsid w:val="007C2AE5"/>
    <w:rsid w:val="007C53D2"/>
    <w:rsid w:val="007C7D05"/>
    <w:rsid w:val="007D0B7A"/>
    <w:rsid w:val="007E141A"/>
    <w:rsid w:val="007E1CF3"/>
    <w:rsid w:val="007E2E60"/>
    <w:rsid w:val="007E388B"/>
    <w:rsid w:val="007E3BE5"/>
    <w:rsid w:val="007E43CC"/>
    <w:rsid w:val="007E4B7B"/>
    <w:rsid w:val="007E578F"/>
    <w:rsid w:val="007E6A76"/>
    <w:rsid w:val="007F067F"/>
    <w:rsid w:val="007F09A2"/>
    <w:rsid w:val="007F0CD7"/>
    <w:rsid w:val="007F2172"/>
    <w:rsid w:val="007F2657"/>
    <w:rsid w:val="007F3D5D"/>
    <w:rsid w:val="007F4686"/>
    <w:rsid w:val="007F5135"/>
    <w:rsid w:val="007F61EF"/>
    <w:rsid w:val="00806C4E"/>
    <w:rsid w:val="008112B3"/>
    <w:rsid w:val="0081331C"/>
    <w:rsid w:val="00814A2C"/>
    <w:rsid w:val="00816166"/>
    <w:rsid w:val="00821333"/>
    <w:rsid w:val="008213C1"/>
    <w:rsid w:val="00823F72"/>
    <w:rsid w:val="00830115"/>
    <w:rsid w:val="008312E3"/>
    <w:rsid w:val="008349DA"/>
    <w:rsid w:val="00835E18"/>
    <w:rsid w:val="00836606"/>
    <w:rsid w:val="008368D7"/>
    <w:rsid w:val="008576BB"/>
    <w:rsid w:val="00860484"/>
    <w:rsid w:val="008606CA"/>
    <w:rsid w:val="0086131B"/>
    <w:rsid w:val="00862C03"/>
    <w:rsid w:val="00864671"/>
    <w:rsid w:val="00870079"/>
    <w:rsid w:val="008829BA"/>
    <w:rsid w:val="00890A40"/>
    <w:rsid w:val="0089568E"/>
    <w:rsid w:val="008A05A5"/>
    <w:rsid w:val="008A2AC2"/>
    <w:rsid w:val="008A3292"/>
    <w:rsid w:val="008A42B0"/>
    <w:rsid w:val="008A4BA9"/>
    <w:rsid w:val="008A7D25"/>
    <w:rsid w:val="008B08E1"/>
    <w:rsid w:val="008B1729"/>
    <w:rsid w:val="008B3FEA"/>
    <w:rsid w:val="008C17B4"/>
    <w:rsid w:val="008C2785"/>
    <w:rsid w:val="008C2B53"/>
    <w:rsid w:val="008C3B14"/>
    <w:rsid w:val="008D16DF"/>
    <w:rsid w:val="008D2AC9"/>
    <w:rsid w:val="008D4D60"/>
    <w:rsid w:val="008D4F47"/>
    <w:rsid w:val="008E3432"/>
    <w:rsid w:val="008E4175"/>
    <w:rsid w:val="008F2F65"/>
    <w:rsid w:val="008F69A1"/>
    <w:rsid w:val="009007FD"/>
    <w:rsid w:val="00902749"/>
    <w:rsid w:val="0091240F"/>
    <w:rsid w:val="00913151"/>
    <w:rsid w:val="00916797"/>
    <w:rsid w:val="0092011B"/>
    <w:rsid w:val="00921F24"/>
    <w:rsid w:val="00931D59"/>
    <w:rsid w:val="00932B37"/>
    <w:rsid w:val="00937021"/>
    <w:rsid w:val="0094108D"/>
    <w:rsid w:val="00946E0B"/>
    <w:rsid w:val="00947E40"/>
    <w:rsid w:val="00950369"/>
    <w:rsid w:val="00950992"/>
    <w:rsid w:val="00952DB9"/>
    <w:rsid w:val="00955419"/>
    <w:rsid w:val="009578C9"/>
    <w:rsid w:val="0096041E"/>
    <w:rsid w:val="00960557"/>
    <w:rsid w:val="00966B76"/>
    <w:rsid w:val="00971125"/>
    <w:rsid w:val="009732CB"/>
    <w:rsid w:val="00980150"/>
    <w:rsid w:val="00980B5A"/>
    <w:rsid w:val="00982752"/>
    <w:rsid w:val="00984CFD"/>
    <w:rsid w:val="0098544E"/>
    <w:rsid w:val="00985CDC"/>
    <w:rsid w:val="009865BB"/>
    <w:rsid w:val="009871AC"/>
    <w:rsid w:val="00991894"/>
    <w:rsid w:val="009967E7"/>
    <w:rsid w:val="009A0CB2"/>
    <w:rsid w:val="009A25F3"/>
    <w:rsid w:val="009A53E0"/>
    <w:rsid w:val="009A715F"/>
    <w:rsid w:val="009B5C44"/>
    <w:rsid w:val="009B5C5B"/>
    <w:rsid w:val="009B72F4"/>
    <w:rsid w:val="009C0D8D"/>
    <w:rsid w:val="009C14D0"/>
    <w:rsid w:val="009C5AD1"/>
    <w:rsid w:val="009C75E1"/>
    <w:rsid w:val="009D11D2"/>
    <w:rsid w:val="009D2A0F"/>
    <w:rsid w:val="009D79EC"/>
    <w:rsid w:val="009D79F8"/>
    <w:rsid w:val="009E5D07"/>
    <w:rsid w:val="009F1D4E"/>
    <w:rsid w:val="009F4176"/>
    <w:rsid w:val="009F4DB5"/>
    <w:rsid w:val="009F7B82"/>
    <w:rsid w:val="00A00ECF"/>
    <w:rsid w:val="00A03BC6"/>
    <w:rsid w:val="00A03DFB"/>
    <w:rsid w:val="00A0482F"/>
    <w:rsid w:val="00A0766F"/>
    <w:rsid w:val="00A0793E"/>
    <w:rsid w:val="00A11715"/>
    <w:rsid w:val="00A17DD9"/>
    <w:rsid w:val="00A202BB"/>
    <w:rsid w:val="00A23B2D"/>
    <w:rsid w:val="00A26173"/>
    <w:rsid w:val="00A26F01"/>
    <w:rsid w:val="00A2765F"/>
    <w:rsid w:val="00A31843"/>
    <w:rsid w:val="00A3321F"/>
    <w:rsid w:val="00A351FE"/>
    <w:rsid w:val="00A40B87"/>
    <w:rsid w:val="00A41592"/>
    <w:rsid w:val="00A45456"/>
    <w:rsid w:val="00A5121B"/>
    <w:rsid w:val="00A57333"/>
    <w:rsid w:val="00A66073"/>
    <w:rsid w:val="00A66A91"/>
    <w:rsid w:val="00A67094"/>
    <w:rsid w:val="00A729BC"/>
    <w:rsid w:val="00A732EB"/>
    <w:rsid w:val="00A74A2A"/>
    <w:rsid w:val="00A75282"/>
    <w:rsid w:val="00A7649C"/>
    <w:rsid w:val="00A8473F"/>
    <w:rsid w:val="00A85A99"/>
    <w:rsid w:val="00A875F1"/>
    <w:rsid w:val="00A94D4B"/>
    <w:rsid w:val="00AA0E91"/>
    <w:rsid w:val="00AA111F"/>
    <w:rsid w:val="00AA35BE"/>
    <w:rsid w:val="00AA532B"/>
    <w:rsid w:val="00AA6F75"/>
    <w:rsid w:val="00AB1DA6"/>
    <w:rsid w:val="00AB27AB"/>
    <w:rsid w:val="00AB3389"/>
    <w:rsid w:val="00AB562D"/>
    <w:rsid w:val="00AB65AE"/>
    <w:rsid w:val="00AC1DDC"/>
    <w:rsid w:val="00AC2474"/>
    <w:rsid w:val="00AC3354"/>
    <w:rsid w:val="00AC345E"/>
    <w:rsid w:val="00AC3EBE"/>
    <w:rsid w:val="00AD1B0F"/>
    <w:rsid w:val="00AD54CD"/>
    <w:rsid w:val="00AD74AF"/>
    <w:rsid w:val="00AE0F34"/>
    <w:rsid w:val="00AE16B5"/>
    <w:rsid w:val="00AE28EE"/>
    <w:rsid w:val="00AE3CDA"/>
    <w:rsid w:val="00AF5980"/>
    <w:rsid w:val="00B00650"/>
    <w:rsid w:val="00B011AE"/>
    <w:rsid w:val="00B01C80"/>
    <w:rsid w:val="00B03F22"/>
    <w:rsid w:val="00B07AFA"/>
    <w:rsid w:val="00B12D8B"/>
    <w:rsid w:val="00B144E7"/>
    <w:rsid w:val="00B171AA"/>
    <w:rsid w:val="00B17614"/>
    <w:rsid w:val="00B202ED"/>
    <w:rsid w:val="00B26562"/>
    <w:rsid w:val="00B34AE4"/>
    <w:rsid w:val="00B431B4"/>
    <w:rsid w:val="00B50FE1"/>
    <w:rsid w:val="00B55F70"/>
    <w:rsid w:val="00B6468A"/>
    <w:rsid w:val="00B71489"/>
    <w:rsid w:val="00B71814"/>
    <w:rsid w:val="00B71AF0"/>
    <w:rsid w:val="00B7391C"/>
    <w:rsid w:val="00B75FA3"/>
    <w:rsid w:val="00B76A83"/>
    <w:rsid w:val="00B8410B"/>
    <w:rsid w:val="00B86402"/>
    <w:rsid w:val="00B86A83"/>
    <w:rsid w:val="00B878DF"/>
    <w:rsid w:val="00B9212F"/>
    <w:rsid w:val="00BA1064"/>
    <w:rsid w:val="00BA3596"/>
    <w:rsid w:val="00BA7198"/>
    <w:rsid w:val="00BB01F7"/>
    <w:rsid w:val="00BB3E60"/>
    <w:rsid w:val="00BC1127"/>
    <w:rsid w:val="00BC1BE2"/>
    <w:rsid w:val="00BC1CE7"/>
    <w:rsid w:val="00BC20A6"/>
    <w:rsid w:val="00BC37CD"/>
    <w:rsid w:val="00BC4F33"/>
    <w:rsid w:val="00BC5C21"/>
    <w:rsid w:val="00BD02DD"/>
    <w:rsid w:val="00BD4C8C"/>
    <w:rsid w:val="00BE4A1D"/>
    <w:rsid w:val="00BF1135"/>
    <w:rsid w:val="00BF1CA9"/>
    <w:rsid w:val="00BF5792"/>
    <w:rsid w:val="00BF5B87"/>
    <w:rsid w:val="00C01785"/>
    <w:rsid w:val="00C12012"/>
    <w:rsid w:val="00C12629"/>
    <w:rsid w:val="00C13007"/>
    <w:rsid w:val="00C149C4"/>
    <w:rsid w:val="00C15529"/>
    <w:rsid w:val="00C20832"/>
    <w:rsid w:val="00C22A24"/>
    <w:rsid w:val="00C24375"/>
    <w:rsid w:val="00C3400E"/>
    <w:rsid w:val="00C379B0"/>
    <w:rsid w:val="00C423AB"/>
    <w:rsid w:val="00C44773"/>
    <w:rsid w:val="00C47468"/>
    <w:rsid w:val="00C57649"/>
    <w:rsid w:val="00C57935"/>
    <w:rsid w:val="00C62584"/>
    <w:rsid w:val="00C62E89"/>
    <w:rsid w:val="00C66B8A"/>
    <w:rsid w:val="00C7321F"/>
    <w:rsid w:val="00C74CC2"/>
    <w:rsid w:val="00C825BE"/>
    <w:rsid w:val="00C82C13"/>
    <w:rsid w:val="00C82C8F"/>
    <w:rsid w:val="00C83F73"/>
    <w:rsid w:val="00C87518"/>
    <w:rsid w:val="00C901D0"/>
    <w:rsid w:val="00C93843"/>
    <w:rsid w:val="00C9486F"/>
    <w:rsid w:val="00C9594F"/>
    <w:rsid w:val="00CA1E44"/>
    <w:rsid w:val="00CA2B85"/>
    <w:rsid w:val="00CA2CA2"/>
    <w:rsid w:val="00CA4C3F"/>
    <w:rsid w:val="00CA76CA"/>
    <w:rsid w:val="00CB38D0"/>
    <w:rsid w:val="00CB546A"/>
    <w:rsid w:val="00CB7B2D"/>
    <w:rsid w:val="00CC1B76"/>
    <w:rsid w:val="00CC3027"/>
    <w:rsid w:val="00CC40B9"/>
    <w:rsid w:val="00CC4188"/>
    <w:rsid w:val="00CD1F0A"/>
    <w:rsid w:val="00CE0C7C"/>
    <w:rsid w:val="00CE62C5"/>
    <w:rsid w:val="00CF0654"/>
    <w:rsid w:val="00CF13C8"/>
    <w:rsid w:val="00CF1D17"/>
    <w:rsid w:val="00CF43B4"/>
    <w:rsid w:val="00CF5B07"/>
    <w:rsid w:val="00D00303"/>
    <w:rsid w:val="00D025CF"/>
    <w:rsid w:val="00D02803"/>
    <w:rsid w:val="00D04050"/>
    <w:rsid w:val="00D052EE"/>
    <w:rsid w:val="00D05607"/>
    <w:rsid w:val="00D1238F"/>
    <w:rsid w:val="00D12519"/>
    <w:rsid w:val="00D14BE9"/>
    <w:rsid w:val="00D16D44"/>
    <w:rsid w:val="00D20DA6"/>
    <w:rsid w:val="00D221D4"/>
    <w:rsid w:val="00D23439"/>
    <w:rsid w:val="00D24015"/>
    <w:rsid w:val="00D25925"/>
    <w:rsid w:val="00D25EA3"/>
    <w:rsid w:val="00D30996"/>
    <w:rsid w:val="00D347D8"/>
    <w:rsid w:val="00D358D1"/>
    <w:rsid w:val="00D37905"/>
    <w:rsid w:val="00D44F7A"/>
    <w:rsid w:val="00D50E83"/>
    <w:rsid w:val="00D519C6"/>
    <w:rsid w:val="00D52A3F"/>
    <w:rsid w:val="00D52BD9"/>
    <w:rsid w:val="00D52C31"/>
    <w:rsid w:val="00D53FCC"/>
    <w:rsid w:val="00D56580"/>
    <w:rsid w:val="00D56C68"/>
    <w:rsid w:val="00D603E8"/>
    <w:rsid w:val="00D618FE"/>
    <w:rsid w:val="00D6574E"/>
    <w:rsid w:val="00D735DB"/>
    <w:rsid w:val="00D736E9"/>
    <w:rsid w:val="00D809FC"/>
    <w:rsid w:val="00D81A38"/>
    <w:rsid w:val="00D82BEE"/>
    <w:rsid w:val="00D83490"/>
    <w:rsid w:val="00D83750"/>
    <w:rsid w:val="00D859CC"/>
    <w:rsid w:val="00D9658E"/>
    <w:rsid w:val="00D9774E"/>
    <w:rsid w:val="00DA4E77"/>
    <w:rsid w:val="00DA4E9F"/>
    <w:rsid w:val="00DA6E81"/>
    <w:rsid w:val="00DA740E"/>
    <w:rsid w:val="00DB0326"/>
    <w:rsid w:val="00DB6502"/>
    <w:rsid w:val="00DC02CF"/>
    <w:rsid w:val="00DC0718"/>
    <w:rsid w:val="00DC12FB"/>
    <w:rsid w:val="00DC1C68"/>
    <w:rsid w:val="00DC4DDA"/>
    <w:rsid w:val="00DC5A69"/>
    <w:rsid w:val="00DC77F9"/>
    <w:rsid w:val="00DC7F34"/>
    <w:rsid w:val="00DD1709"/>
    <w:rsid w:val="00DD709C"/>
    <w:rsid w:val="00DE72D4"/>
    <w:rsid w:val="00DE744A"/>
    <w:rsid w:val="00DE752F"/>
    <w:rsid w:val="00DF19C6"/>
    <w:rsid w:val="00DF31C1"/>
    <w:rsid w:val="00DF6D9D"/>
    <w:rsid w:val="00E00255"/>
    <w:rsid w:val="00E00499"/>
    <w:rsid w:val="00E070CD"/>
    <w:rsid w:val="00E14A4D"/>
    <w:rsid w:val="00E15F18"/>
    <w:rsid w:val="00E20269"/>
    <w:rsid w:val="00E22538"/>
    <w:rsid w:val="00E23439"/>
    <w:rsid w:val="00E274B2"/>
    <w:rsid w:val="00E32062"/>
    <w:rsid w:val="00E32410"/>
    <w:rsid w:val="00E37E8C"/>
    <w:rsid w:val="00E43665"/>
    <w:rsid w:val="00E45B17"/>
    <w:rsid w:val="00E50C2D"/>
    <w:rsid w:val="00E5213F"/>
    <w:rsid w:val="00E52B0B"/>
    <w:rsid w:val="00E558A1"/>
    <w:rsid w:val="00E56778"/>
    <w:rsid w:val="00E6220A"/>
    <w:rsid w:val="00E62633"/>
    <w:rsid w:val="00E633DC"/>
    <w:rsid w:val="00E64F40"/>
    <w:rsid w:val="00E6672A"/>
    <w:rsid w:val="00E67693"/>
    <w:rsid w:val="00E67C2A"/>
    <w:rsid w:val="00E7002D"/>
    <w:rsid w:val="00E7432B"/>
    <w:rsid w:val="00E77911"/>
    <w:rsid w:val="00E80790"/>
    <w:rsid w:val="00E829B8"/>
    <w:rsid w:val="00E83E4A"/>
    <w:rsid w:val="00E863F9"/>
    <w:rsid w:val="00E8795F"/>
    <w:rsid w:val="00E95C9D"/>
    <w:rsid w:val="00EA0E4F"/>
    <w:rsid w:val="00EA1D86"/>
    <w:rsid w:val="00EA2643"/>
    <w:rsid w:val="00EA34DC"/>
    <w:rsid w:val="00EB2330"/>
    <w:rsid w:val="00EB2A9B"/>
    <w:rsid w:val="00EB2B63"/>
    <w:rsid w:val="00EB2D52"/>
    <w:rsid w:val="00EB3310"/>
    <w:rsid w:val="00EB3B4E"/>
    <w:rsid w:val="00EB480A"/>
    <w:rsid w:val="00EC027E"/>
    <w:rsid w:val="00EC3779"/>
    <w:rsid w:val="00EC40F8"/>
    <w:rsid w:val="00EC4D23"/>
    <w:rsid w:val="00ED653F"/>
    <w:rsid w:val="00EE2AA0"/>
    <w:rsid w:val="00EE69FC"/>
    <w:rsid w:val="00EF2837"/>
    <w:rsid w:val="00EF5C8D"/>
    <w:rsid w:val="00EF6C8E"/>
    <w:rsid w:val="00F0038C"/>
    <w:rsid w:val="00F011F1"/>
    <w:rsid w:val="00F041E2"/>
    <w:rsid w:val="00F0631D"/>
    <w:rsid w:val="00F11009"/>
    <w:rsid w:val="00F1723C"/>
    <w:rsid w:val="00F20F76"/>
    <w:rsid w:val="00F210E3"/>
    <w:rsid w:val="00F25A17"/>
    <w:rsid w:val="00F26619"/>
    <w:rsid w:val="00F2755C"/>
    <w:rsid w:val="00F3670F"/>
    <w:rsid w:val="00F37D49"/>
    <w:rsid w:val="00F40D68"/>
    <w:rsid w:val="00F43117"/>
    <w:rsid w:val="00F43420"/>
    <w:rsid w:val="00F44D9A"/>
    <w:rsid w:val="00F509B4"/>
    <w:rsid w:val="00F67109"/>
    <w:rsid w:val="00F7218E"/>
    <w:rsid w:val="00F727D1"/>
    <w:rsid w:val="00F742BF"/>
    <w:rsid w:val="00F80D2C"/>
    <w:rsid w:val="00F82248"/>
    <w:rsid w:val="00F82D02"/>
    <w:rsid w:val="00F83528"/>
    <w:rsid w:val="00F86934"/>
    <w:rsid w:val="00F9085C"/>
    <w:rsid w:val="00F90D10"/>
    <w:rsid w:val="00F912C1"/>
    <w:rsid w:val="00F913B3"/>
    <w:rsid w:val="00F95304"/>
    <w:rsid w:val="00F96806"/>
    <w:rsid w:val="00FA73BB"/>
    <w:rsid w:val="00FA7BCF"/>
    <w:rsid w:val="00FB33BE"/>
    <w:rsid w:val="00FB51F2"/>
    <w:rsid w:val="00FB5793"/>
    <w:rsid w:val="00FC560A"/>
    <w:rsid w:val="00FC61A2"/>
    <w:rsid w:val="00FD23D5"/>
    <w:rsid w:val="00FD4385"/>
    <w:rsid w:val="00FE151D"/>
    <w:rsid w:val="00FE2FC2"/>
    <w:rsid w:val="00FE4A2A"/>
    <w:rsid w:val="00FE4D37"/>
    <w:rsid w:val="00FF4AB5"/>
    <w:rsid w:val="00FF532F"/>
    <w:rsid w:val="00FF53D3"/>
    <w:rsid w:val="00FF6184"/>
    <w:rsid w:val="00FF7901"/>
    <w:rsid w:val="061E4834"/>
    <w:rsid w:val="099369BB"/>
    <w:rsid w:val="0D3B04C7"/>
    <w:rsid w:val="0D9918E3"/>
    <w:rsid w:val="0FD77389"/>
    <w:rsid w:val="160123CC"/>
    <w:rsid w:val="1E65704C"/>
    <w:rsid w:val="1FC02D35"/>
    <w:rsid w:val="23A36C95"/>
    <w:rsid w:val="28667C49"/>
    <w:rsid w:val="30542CDD"/>
    <w:rsid w:val="34DF500B"/>
    <w:rsid w:val="369479EF"/>
    <w:rsid w:val="3D3872A7"/>
    <w:rsid w:val="3EE35259"/>
    <w:rsid w:val="40573C0F"/>
    <w:rsid w:val="449278FD"/>
    <w:rsid w:val="4BFA282F"/>
    <w:rsid w:val="4F435966"/>
    <w:rsid w:val="547B54A6"/>
    <w:rsid w:val="59CC0D4E"/>
    <w:rsid w:val="62E07BBA"/>
    <w:rsid w:val="62FD0BCE"/>
    <w:rsid w:val="66830D3C"/>
    <w:rsid w:val="6C2457F1"/>
    <w:rsid w:val="6F3D1B2B"/>
    <w:rsid w:val="709A5CAE"/>
    <w:rsid w:val="71525805"/>
    <w:rsid w:val="741C2287"/>
    <w:rsid w:val="75C90D7D"/>
    <w:rsid w:val="7871682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nhideWhenUsed="0" w:uiPriority="0" w:name="footnote text"/>
    <w:lsdException w:qFormat="1" w:unhideWhenUsed="0" w:uiPriority="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qFormat="1" w:unhideWhenUsed="0" w:uiPriority="0" w:name="footnote reference"/>
    <w:lsdException w:qFormat="1" w:unhideWhenUsed="0" w:uiPriority="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qFormat="1" w:unhideWhenUsed="0"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qFormat="1" w:unhideWhenUsed="0" w:uiPriority="0" w:semiHidden="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qFormat/>
    <w:uiPriority w:val="0"/>
    <w:pPr>
      <w:keepNext/>
      <w:keepLines/>
      <w:spacing w:before="280" w:after="290" w:line="376" w:lineRule="auto"/>
      <w:outlineLvl w:val="4"/>
    </w:pPr>
    <w:rPr>
      <w:b/>
      <w:bCs/>
      <w:sz w:val="28"/>
      <w:szCs w:val="28"/>
    </w:rPr>
  </w:style>
  <w:style w:type="paragraph" w:styleId="7">
    <w:name w:val="heading 6"/>
    <w:basedOn w:val="1"/>
    <w:next w:val="1"/>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qFormat/>
    <w:uiPriority w:val="0"/>
    <w:pPr>
      <w:keepNext/>
      <w:keepLines/>
      <w:spacing w:before="240" w:after="64" w:line="320" w:lineRule="auto"/>
      <w:outlineLvl w:val="6"/>
    </w:pPr>
    <w:rPr>
      <w:b/>
      <w:bCs/>
      <w:sz w:val="24"/>
    </w:rPr>
  </w:style>
  <w:style w:type="paragraph" w:styleId="9">
    <w:name w:val="heading 8"/>
    <w:basedOn w:val="1"/>
    <w:next w:val="1"/>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qFormat/>
    <w:uiPriority w:val="0"/>
    <w:pPr>
      <w:keepNext/>
      <w:keepLines/>
      <w:spacing w:before="240" w:after="64" w:line="320" w:lineRule="auto"/>
      <w:outlineLvl w:val="8"/>
    </w:pPr>
    <w:rPr>
      <w:rFonts w:ascii="Arial" w:hAnsi="Arial" w:eastAsia="黑体"/>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11">
    <w:name w:val="toc 7"/>
    <w:basedOn w:val="12"/>
    <w:next w:val="1"/>
    <w:semiHidden/>
    <w:qFormat/>
    <w:uiPriority w:val="0"/>
  </w:style>
  <w:style w:type="paragraph" w:styleId="12">
    <w:name w:val="toc 6"/>
    <w:basedOn w:val="13"/>
    <w:next w:val="1"/>
    <w:semiHidden/>
    <w:qFormat/>
    <w:uiPriority w:val="0"/>
  </w:style>
  <w:style w:type="paragraph" w:styleId="13">
    <w:name w:val="toc 5"/>
    <w:basedOn w:val="14"/>
    <w:next w:val="1"/>
    <w:semiHidden/>
    <w:qFormat/>
    <w:uiPriority w:val="0"/>
  </w:style>
  <w:style w:type="paragraph" w:styleId="14">
    <w:name w:val="toc 4"/>
    <w:basedOn w:val="15"/>
    <w:next w:val="1"/>
    <w:semiHidden/>
    <w:qFormat/>
    <w:uiPriority w:val="0"/>
  </w:style>
  <w:style w:type="paragraph" w:styleId="15">
    <w:name w:val="toc 3"/>
    <w:basedOn w:val="16"/>
    <w:next w:val="1"/>
    <w:semiHidden/>
    <w:qFormat/>
    <w:uiPriority w:val="0"/>
  </w:style>
  <w:style w:type="paragraph" w:styleId="16">
    <w:name w:val="toc 2"/>
    <w:basedOn w:val="17"/>
    <w:next w:val="1"/>
    <w:semiHidden/>
    <w:qFormat/>
    <w:uiPriority w:val="0"/>
  </w:style>
  <w:style w:type="paragraph" w:styleId="17">
    <w:name w:val="toc 1"/>
    <w:next w:val="1"/>
    <w:semiHidden/>
    <w:qFormat/>
    <w:uiPriority w:val="0"/>
    <w:pPr>
      <w:jc w:val="both"/>
    </w:pPr>
    <w:rPr>
      <w:rFonts w:ascii="宋体" w:hAnsi="Times New Roman" w:eastAsia="宋体" w:cs="Times New Roman"/>
      <w:sz w:val="21"/>
      <w:lang w:val="en-US" w:eastAsia="zh-CN" w:bidi="ar-SA"/>
    </w:rPr>
  </w:style>
  <w:style w:type="paragraph" w:styleId="18">
    <w:name w:val="Normal Indent"/>
    <w:basedOn w:val="1"/>
    <w:qFormat/>
    <w:uiPriority w:val="0"/>
    <w:pPr>
      <w:ind w:firstLine="420"/>
    </w:pPr>
  </w:style>
  <w:style w:type="paragraph" w:styleId="19">
    <w:name w:val="Document Map"/>
    <w:basedOn w:val="1"/>
    <w:semiHidden/>
    <w:qFormat/>
    <w:uiPriority w:val="0"/>
    <w:pPr>
      <w:shd w:val="clear" w:color="auto" w:fill="000080"/>
    </w:pPr>
  </w:style>
  <w:style w:type="paragraph" w:styleId="20">
    <w:name w:val="toa heading"/>
    <w:basedOn w:val="1"/>
    <w:next w:val="1"/>
    <w:semiHidden/>
    <w:qFormat/>
    <w:uiPriority w:val="0"/>
    <w:pPr>
      <w:widowControl/>
      <w:tabs>
        <w:tab w:val="left" w:pos="720"/>
      </w:tabs>
    </w:pPr>
    <w:rPr>
      <w:b/>
      <w:kern w:val="0"/>
      <w:sz w:val="22"/>
    </w:rPr>
  </w:style>
  <w:style w:type="paragraph" w:styleId="21">
    <w:name w:val="annotation text"/>
    <w:basedOn w:val="1"/>
    <w:link w:val="128"/>
    <w:semiHidden/>
    <w:qFormat/>
    <w:uiPriority w:val="0"/>
    <w:pPr>
      <w:jc w:val="left"/>
    </w:pPr>
  </w:style>
  <w:style w:type="paragraph" w:styleId="22">
    <w:name w:val="Body Text"/>
    <w:basedOn w:val="1"/>
    <w:qFormat/>
    <w:uiPriority w:val="0"/>
    <w:pPr>
      <w:spacing w:after="120"/>
    </w:pPr>
  </w:style>
  <w:style w:type="paragraph" w:styleId="23">
    <w:name w:val="Body Text Indent"/>
    <w:basedOn w:val="1"/>
    <w:qFormat/>
    <w:uiPriority w:val="0"/>
    <w:pPr>
      <w:ind w:left="420" w:hanging="420" w:hangingChars="200"/>
    </w:pPr>
  </w:style>
  <w:style w:type="paragraph" w:styleId="24">
    <w:name w:val="HTML Address"/>
    <w:basedOn w:val="1"/>
    <w:qFormat/>
    <w:uiPriority w:val="0"/>
    <w:rPr>
      <w:i/>
      <w:iCs/>
    </w:rPr>
  </w:style>
  <w:style w:type="paragraph" w:styleId="25">
    <w:name w:val="Plain Text"/>
    <w:basedOn w:val="1"/>
    <w:qFormat/>
    <w:uiPriority w:val="0"/>
    <w:rPr>
      <w:rFonts w:ascii="宋体" w:hAnsi="Courier New"/>
      <w:szCs w:val="21"/>
    </w:rPr>
  </w:style>
  <w:style w:type="paragraph" w:styleId="26">
    <w:name w:val="toc 8"/>
    <w:basedOn w:val="11"/>
    <w:next w:val="1"/>
    <w:semiHidden/>
    <w:qFormat/>
    <w:uiPriority w:val="0"/>
  </w:style>
  <w:style w:type="paragraph" w:styleId="27">
    <w:name w:val="Date"/>
    <w:basedOn w:val="1"/>
    <w:next w:val="1"/>
    <w:qFormat/>
    <w:uiPriority w:val="0"/>
    <w:rPr>
      <w:rFonts w:ascii="黑体" w:eastAsia="黑体"/>
      <w:b/>
    </w:rPr>
  </w:style>
  <w:style w:type="paragraph" w:styleId="28">
    <w:name w:val="Balloon Text"/>
    <w:basedOn w:val="1"/>
    <w:semiHidden/>
    <w:qFormat/>
    <w:uiPriority w:val="0"/>
    <w:rPr>
      <w:sz w:val="18"/>
      <w:szCs w:val="18"/>
    </w:rPr>
  </w:style>
  <w:style w:type="paragraph" w:styleId="29">
    <w:name w:val="footer"/>
    <w:basedOn w:val="1"/>
    <w:link w:val="64"/>
    <w:qFormat/>
    <w:uiPriority w:val="99"/>
    <w:pPr>
      <w:tabs>
        <w:tab w:val="center" w:pos="4153"/>
        <w:tab w:val="right" w:pos="8306"/>
      </w:tabs>
      <w:snapToGrid w:val="0"/>
      <w:ind w:right="210" w:rightChars="100"/>
      <w:jc w:val="right"/>
    </w:pPr>
    <w:rPr>
      <w:sz w:val="18"/>
      <w:szCs w:val="18"/>
    </w:rPr>
  </w:style>
  <w:style w:type="paragraph" w:styleId="30">
    <w:name w:val="header"/>
    <w:basedOn w:val="1"/>
    <w:link w:val="63"/>
    <w:qFormat/>
    <w:uiPriority w:val="0"/>
    <w:pPr>
      <w:pBdr>
        <w:bottom w:val="single" w:color="auto" w:sz="6" w:space="1"/>
      </w:pBdr>
      <w:tabs>
        <w:tab w:val="center" w:pos="4153"/>
        <w:tab w:val="right" w:pos="8306"/>
      </w:tabs>
      <w:snapToGrid w:val="0"/>
      <w:jc w:val="center"/>
    </w:pPr>
    <w:rPr>
      <w:sz w:val="18"/>
      <w:szCs w:val="18"/>
    </w:rPr>
  </w:style>
  <w:style w:type="paragraph" w:styleId="31">
    <w:name w:val="footnote text"/>
    <w:basedOn w:val="1"/>
    <w:semiHidden/>
    <w:qFormat/>
    <w:uiPriority w:val="0"/>
    <w:pPr>
      <w:snapToGrid w:val="0"/>
      <w:jc w:val="left"/>
    </w:pPr>
    <w:rPr>
      <w:sz w:val="18"/>
      <w:szCs w:val="18"/>
    </w:rPr>
  </w:style>
  <w:style w:type="paragraph" w:styleId="32">
    <w:name w:val="Body Text Indent 3"/>
    <w:basedOn w:val="1"/>
    <w:qFormat/>
    <w:uiPriority w:val="0"/>
    <w:pPr>
      <w:spacing w:after="120"/>
      <w:ind w:left="420" w:leftChars="200"/>
    </w:pPr>
    <w:rPr>
      <w:sz w:val="16"/>
      <w:szCs w:val="16"/>
    </w:rPr>
  </w:style>
  <w:style w:type="paragraph" w:styleId="33">
    <w:name w:val="toc 9"/>
    <w:basedOn w:val="26"/>
    <w:next w:val="1"/>
    <w:semiHidden/>
    <w:qFormat/>
    <w:uiPriority w:val="0"/>
  </w:style>
  <w:style w:type="paragraph" w:styleId="34">
    <w:name w:val="HTML Preformatted"/>
    <w:basedOn w:val="1"/>
    <w:qFormat/>
    <w:uiPriority w:val="0"/>
    <w:rPr>
      <w:rFonts w:ascii="Courier New" w:hAnsi="Courier New" w:cs="Courier New"/>
      <w:sz w:val="20"/>
    </w:rPr>
  </w:style>
  <w:style w:type="paragraph" w:styleId="35">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36">
    <w:name w:val="Title"/>
    <w:basedOn w:val="1"/>
    <w:link w:val="62"/>
    <w:qFormat/>
    <w:uiPriority w:val="0"/>
    <w:pPr>
      <w:spacing w:before="240" w:after="60"/>
      <w:jc w:val="center"/>
      <w:outlineLvl w:val="0"/>
    </w:pPr>
    <w:rPr>
      <w:rFonts w:ascii="Arial" w:hAnsi="Arial" w:cs="Arial"/>
      <w:b/>
      <w:bCs/>
      <w:sz w:val="32"/>
      <w:szCs w:val="32"/>
    </w:rPr>
  </w:style>
  <w:style w:type="paragraph" w:styleId="37">
    <w:name w:val="annotation subject"/>
    <w:basedOn w:val="21"/>
    <w:next w:val="21"/>
    <w:semiHidden/>
    <w:qFormat/>
    <w:uiPriority w:val="0"/>
    <w:rPr>
      <w:b/>
      <w:bCs/>
    </w:rPr>
  </w:style>
  <w:style w:type="table" w:styleId="39">
    <w:name w:val="Table Grid"/>
    <w:basedOn w:val="38"/>
    <w:qFormat/>
    <w:uiPriority w:val="59"/>
    <w:rPr>
      <w:rFonts w:ascii="Calibri" w:hAnsi="Calibri"/>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page number"/>
    <w:qFormat/>
    <w:uiPriority w:val="0"/>
    <w:rPr>
      <w:rFonts w:ascii="Times New Roman" w:hAnsi="Times New Roman" w:eastAsia="宋体"/>
      <w:sz w:val="18"/>
    </w:rPr>
  </w:style>
  <w:style w:type="character" w:styleId="42">
    <w:name w:val="FollowedHyperlink"/>
    <w:qFormat/>
    <w:uiPriority w:val="0"/>
    <w:rPr>
      <w:color w:val="800080"/>
      <w:u w:val="single"/>
    </w:rPr>
  </w:style>
  <w:style w:type="character" w:styleId="43">
    <w:name w:val="HTML Definition"/>
    <w:qFormat/>
    <w:uiPriority w:val="0"/>
    <w:rPr>
      <w:i/>
      <w:iCs/>
    </w:rPr>
  </w:style>
  <w:style w:type="character" w:styleId="44">
    <w:name w:val="HTML Typewriter"/>
    <w:qFormat/>
    <w:uiPriority w:val="0"/>
    <w:rPr>
      <w:rFonts w:ascii="Courier New" w:hAnsi="Courier New"/>
      <w:sz w:val="20"/>
      <w:szCs w:val="20"/>
    </w:rPr>
  </w:style>
  <w:style w:type="character" w:styleId="45">
    <w:name w:val="HTML Acronym"/>
    <w:basedOn w:val="40"/>
    <w:qFormat/>
    <w:uiPriority w:val="0"/>
  </w:style>
  <w:style w:type="character" w:styleId="46">
    <w:name w:val="HTML Variable"/>
    <w:qFormat/>
    <w:uiPriority w:val="0"/>
    <w:rPr>
      <w:i/>
      <w:iCs/>
    </w:rPr>
  </w:style>
  <w:style w:type="character" w:styleId="47">
    <w:name w:val="Hyperlink"/>
    <w:qFormat/>
    <w:uiPriority w:val="0"/>
    <w:rPr>
      <w:rFonts w:ascii="Times New Roman" w:hAnsi="Times New Roman" w:eastAsia="宋体"/>
      <w:color w:val="auto"/>
      <w:spacing w:val="0"/>
      <w:w w:val="100"/>
      <w:position w:val="0"/>
      <w:sz w:val="21"/>
      <w:u w:val="none"/>
      <w:vertAlign w:val="baseline"/>
    </w:rPr>
  </w:style>
  <w:style w:type="character" w:styleId="48">
    <w:name w:val="HTML Code"/>
    <w:qFormat/>
    <w:uiPriority w:val="0"/>
    <w:rPr>
      <w:rFonts w:ascii="Courier New" w:hAnsi="Courier New"/>
      <w:sz w:val="20"/>
      <w:szCs w:val="20"/>
    </w:rPr>
  </w:style>
  <w:style w:type="character" w:styleId="49">
    <w:name w:val="annotation reference"/>
    <w:semiHidden/>
    <w:qFormat/>
    <w:uiPriority w:val="0"/>
    <w:rPr>
      <w:sz w:val="21"/>
      <w:szCs w:val="21"/>
    </w:rPr>
  </w:style>
  <w:style w:type="character" w:styleId="50">
    <w:name w:val="HTML Cite"/>
    <w:qFormat/>
    <w:uiPriority w:val="0"/>
    <w:rPr>
      <w:i/>
      <w:iCs/>
    </w:rPr>
  </w:style>
  <w:style w:type="character" w:styleId="51">
    <w:name w:val="footnote reference"/>
    <w:semiHidden/>
    <w:qFormat/>
    <w:uiPriority w:val="0"/>
    <w:rPr>
      <w:vertAlign w:val="superscript"/>
    </w:rPr>
  </w:style>
  <w:style w:type="character" w:styleId="52">
    <w:name w:val="HTML Keyboard"/>
    <w:qFormat/>
    <w:uiPriority w:val="0"/>
    <w:rPr>
      <w:rFonts w:ascii="Courier New" w:hAnsi="Courier New"/>
      <w:sz w:val="20"/>
      <w:szCs w:val="20"/>
    </w:rPr>
  </w:style>
  <w:style w:type="character" w:styleId="53">
    <w:name w:val="HTML Sample"/>
    <w:qFormat/>
    <w:uiPriority w:val="0"/>
    <w:rPr>
      <w:rFonts w:ascii="Courier New" w:hAnsi="Courier New"/>
    </w:rPr>
  </w:style>
  <w:style w:type="character" w:customStyle="1" w:styleId="54">
    <w:name w:val="发布"/>
    <w:qFormat/>
    <w:uiPriority w:val="0"/>
    <w:rPr>
      <w:rFonts w:ascii="黑体" w:eastAsia="黑体"/>
      <w:spacing w:val="22"/>
      <w:w w:val="100"/>
      <w:position w:val="3"/>
      <w:sz w:val="28"/>
    </w:rPr>
  </w:style>
  <w:style w:type="character" w:customStyle="1" w:styleId="55">
    <w:name w:val="个人答复风格"/>
    <w:qFormat/>
    <w:uiPriority w:val="0"/>
    <w:rPr>
      <w:rFonts w:ascii="Arial" w:hAnsi="Arial" w:eastAsia="宋体" w:cs="Arial"/>
      <w:color w:val="auto"/>
      <w:sz w:val="20"/>
    </w:rPr>
  </w:style>
  <w:style w:type="character" w:customStyle="1" w:styleId="56">
    <w:name w:val="个人撰写风格"/>
    <w:qFormat/>
    <w:uiPriority w:val="0"/>
    <w:rPr>
      <w:rFonts w:ascii="Arial" w:hAnsi="Arial" w:eastAsia="宋体" w:cs="Arial"/>
      <w:color w:val="auto"/>
      <w:sz w:val="20"/>
    </w:rPr>
  </w:style>
  <w:style w:type="character" w:customStyle="1" w:styleId="57">
    <w:name w:val="mtitle1"/>
    <w:qFormat/>
    <w:uiPriority w:val="0"/>
    <w:rPr>
      <w:rFonts w:hint="default" w:ascii="ˎ̥" w:hAnsi="ˎ̥"/>
      <w:color w:val="000000"/>
      <w:sz w:val="21"/>
      <w:szCs w:val="21"/>
    </w:rPr>
  </w:style>
  <w:style w:type="character" w:customStyle="1" w:styleId="58">
    <w:name w:val="段 Char"/>
    <w:link w:val="59"/>
    <w:qFormat/>
    <w:uiPriority w:val="0"/>
    <w:rPr>
      <w:rFonts w:ascii="宋体"/>
      <w:sz w:val="21"/>
      <w:lang w:val="en-US" w:eastAsia="zh-CN" w:bidi="ar-SA"/>
    </w:rPr>
  </w:style>
  <w:style w:type="paragraph" w:customStyle="1" w:styleId="59">
    <w:name w:val="段"/>
    <w:link w:val="58"/>
    <w:qFormat/>
    <w:uiPriority w:val="0"/>
    <w:pPr>
      <w:ind w:firstLine="200" w:firstLineChars="200"/>
      <w:jc w:val="both"/>
    </w:pPr>
    <w:rPr>
      <w:rFonts w:ascii="宋体" w:hAnsi="Times New Roman" w:eastAsia="宋体" w:cs="Times New Roman"/>
      <w:sz w:val="21"/>
      <w:lang w:val="en-US" w:eastAsia="zh-CN" w:bidi="ar-SA"/>
    </w:rPr>
  </w:style>
  <w:style w:type="character" w:customStyle="1" w:styleId="60">
    <w:name w:val="goog_qs-tidbit-1"/>
    <w:basedOn w:val="40"/>
    <w:qFormat/>
    <w:uiPriority w:val="0"/>
  </w:style>
  <w:style w:type="character" w:customStyle="1" w:styleId="61">
    <w:name w:val="goog_qs-tidbit goog_qs-tidbit-1"/>
    <w:basedOn w:val="40"/>
    <w:qFormat/>
    <w:uiPriority w:val="0"/>
  </w:style>
  <w:style w:type="character" w:customStyle="1" w:styleId="62">
    <w:name w:val="标题 Char"/>
    <w:link w:val="36"/>
    <w:qFormat/>
    <w:locked/>
    <w:uiPriority w:val="0"/>
    <w:rPr>
      <w:rFonts w:ascii="Arial" w:hAnsi="Arial" w:eastAsia="宋体" w:cs="Arial"/>
      <w:b/>
      <w:bCs/>
      <w:kern w:val="2"/>
      <w:sz w:val="32"/>
      <w:szCs w:val="32"/>
      <w:lang w:val="en-US" w:eastAsia="zh-CN" w:bidi="ar-SA"/>
    </w:rPr>
  </w:style>
  <w:style w:type="character" w:customStyle="1" w:styleId="63">
    <w:name w:val="页眉 Char"/>
    <w:link w:val="30"/>
    <w:qFormat/>
    <w:locked/>
    <w:uiPriority w:val="0"/>
    <w:rPr>
      <w:rFonts w:eastAsia="宋体"/>
      <w:kern w:val="2"/>
      <w:sz w:val="18"/>
      <w:szCs w:val="18"/>
      <w:lang w:val="en-US" w:eastAsia="zh-CN" w:bidi="ar-SA"/>
    </w:rPr>
  </w:style>
  <w:style w:type="character" w:customStyle="1" w:styleId="64">
    <w:name w:val="页脚 Char"/>
    <w:link w:val="29"/>
    <w:qFormat/>
    <w:uiPriority w:val="99"/>
    <w:rPr>
      <w:kern w:val="2"/>
      <w:sz w:val="18"/>
      <w:szCs w:val="18"/>
    </w:rPr>
  </w:style>
  <w:style w:type="paragraph" w:customStyle="1" w:styleId="65">
    <w:name w:val="示例"/>
    <w:next w:val="59"/>
    <w:qFormat/>
    <w:uiPriority w:val="0"/>
    <w:pPr>
      <w:numPr>
        <w:ilvl w:val="0"/>
        <w:numId w:val="1"/>
      </w:numPr>
      <w:tabs>
        <w:tab w:val="left" w:pos="816"/>
        <w:tab w:val="clear" w:pos="1120"/>
      </w:tabs>
      <w:ind w:firstLine="419" w:firstLineChars="233"/>
      <w:jc w:val="both"/>
    </w:pPr>
    <w:rPr>
      <w:rFonts w:ascii="宋体" w:hAnsi="Times New Roman" w:eastAsia="宋体" w:cs="Times New Roman"/>
      <w:sz w:val="18"/>
      <w:lang w:val="en-US" w:eastAsia="zh-CN" w:bidi="ar-SA"/>
    </w:rPr>
  </w:style>
  <w:style w:type="paragraph" w:customStyle="1" w:styleId="66">
    <w:name w:val="二级无标题条"/>
    <w:basedOn w:val="1"/>
    <w:qFormat/>
    <w:uiPriority w:val="0"/>
    <w:pPr>
      <w:numPr>
        <w:ilvl w:val="3"/>
        <w:numId w:val="2"/>
      </w:numPr>
    </w:pPr>
  </w:style>
  <w:style w:type="paragraph" w:customStyle="1" w:styleId="67">
    <w:name w:val="其他发布部门"/>
    <w:basedOn w:val="68"/>
    <w:qFormat/>
    <w:uiPriority w:val="0"/>
    <w:pPr>
      <w:spacing w:line="0" w:lineRule="atLeast"/>
    </w:pPr>
    <w:rPr>
      <w:rFonts w:ascii="黑体" w:eastAsia="黑体"/>
      <w:b w:val="0"/>
    </w:rPr>
  </w:style>
  <w:style w:type="paragraph" w:customStyle="1" w:styleId="68">
    <w:name w:val="发布部门"/>
    <w:next w:val="59"/>
    <w:qFormat/>
    <w:uiPriority w:val="0"/>
    <w:pPr>
      <w:jc w:val="center"/>
    </w:pPr>
    <w:rPr>
      <w:rFonts w:ascii="宋体" w:hAnsi="Times New Roman" w:eastAsia="宋体" w:cs="Times New Roman"/>
      <w:b/>
      <w:spacing w:val="20"/>
      <w:w w:val="135"/>
      <w:sz w:val="36"/>
      <w:lang w:val="en-US" w:eastAsia="zh-CN" w:bidi="ar-SA"/>
    </w:rPr>
  </w:style>
  <w:style w:type="paragraph" w:customStyle="1" w:styleId="69">
    <w:name w:val="标准书眉_偶数页"/>
    <w:basedOn w:val="70"/>
    <w:next w:val="1"/>
    <w:qFormat/>
    <w:uiPriority w:val="0"/>
    <w:pPr>
      <w:tabs>
        <w:tab w:val="center" w:pos="4154"/>
        <w:tab w:val="right" w:pos="8306"/>
      </w:tabs>
      <w:jc w:val="left"/>
    </w:pPr>
  </w:style>
  <w:style w:type="paragraph" w:customStyle="1" w:styleId="70">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71">
    <w:name w:val="附录四级条标题"/>
    <w:basedOn w:val="72"/>
    <w:next w:val="59"/>
    <w:qFormat/>
    <w:uiPriority w:val="0"/>
    <w:pPr>
      <w:numPr>
        <w:ilvl w:val="5"/>
      </w:numPr>
      <w:outlineLvl w:val="5"/>
    </w:pPr>
  </w:style>
  <w:style w:type="paragraph" w:customStyle="1" w:styleId="72">
    <w:name w:val="附录三级条标题"/>
    <w:basedOn w:val="73"/>
    <w:next w:val="59"/>
    <w:qFormat/>
    <w:uiPriority w:val="0"/>
    <w:pPr>
      <w:numPr>
        <w:ilvl w:val="4"/>
      </w:numPr>
      <w:outlineLvl w:val="4"/>
    </w:pPr>
  </w:style>
  <w:style w:type="paragraph" w:customStyle="1" w:styleId="73">
    <w:name w:val="附录二级条标题"/>
    <w:basedOn w:val="74"/>
    <w:next w:val="59"/>
    <w:qFormat/>
    <w:uiPriority w:val="0"/>
    <w:pPr>
      <w:numPr>
        <w:ilvl w:val="3"/>
      </w:numPr>
      <w:outlineLvl w:val="3"/>
    </w:pPr>
  </w:style>
  <w:style w:type="paragraph" w:customStyle="1" w:styleId="74">
    <w:name w:val="附录一级条标题"/>
    <w:basedOn w:val="75"/>
    <w:next w:val="59"/>
    <w:qFormat/>
    <w:uiPriority w:val="0"/>
    <w:pPr>
      <w:numPr>
        <w:ilvl w:val="2"/>
      </w:numPr>
      <w:autoSpaceDN w:val="0"/>
      <w:spacing w:beforeLines="0" w:afterLines="0"/>
      <w:outlineLvl w:val="2"/>
    </w:pPr>
  </w:style>
  <w:style w:type="paragraph" w:customStyle="1" w:styleId="75">
    <w:name w:val="附录章标题"/>
    <w:next w:val="59"/>
    <w:qFormat/>
    <w:uiPriority w:val="0"/>
    <w:pPr>
      <w:numPr>
        <w:ilvl w:val="1"/>
        <w:numId w:val="3"/>
      </w:numPr>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76">
    <w:name w:val="一级条标题"/>
    <w:basedOn w:val="77"/>
    <w:next w:val="59"/>
    <w:qFormat/>
    <w:uiPriority w:val="0"/>
    <w:pPr>
      <w:spacing w:beforeLines="0" w:afterLines="0"/>
      <w:outlineLvl w:val="2"/>
    </w:pPr>
  </w:style>
  <w:style w:type="paragraph" w:customStyle="1" w:styleId="77">
    <w:name w:val="章标题"/>
    <w:next w:val="59"/>
    <w:qFormat/>
    <w:uiPriority w:val="0"/>
    <w:pPr>
      <w:spacing w:beforeLines="50" w:afterLines="50"/>
      <w:jc w:val="both"/>
      <w:outlineLvl w:val="1"/>
    </w:pPr>
    <w:rPr>
      <w:rFonts w:ascii="黑体" w:hAnsi="Times New Roman" w:eastAsia="黑体" w:cs="Times New Roman"/>
      <w:sz w:val="21"/>
      <w:lang w:val="en-US" w:eastAsia="zh-CN" w:bidi="ar-SA"/>
    </w:rPr>
  </w:style>
  <w:style w:type="paragraph" w:customStyle="1" w:styleId="78">
    <w:name w:val="前言、引言标题"/>
    <w:next w:val="1"/>
    <w:qFormat/>
    <w:uiPriority w:val="0"/>
    <w:pPr>
      <w:numPr>
        <w:ilvl w:val="0"/>
        <w:numId w:val="4"/>
      </w:num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79">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80">
    <w:name w:val="三级条标题"/>
    <w:basedOn w:val="81"/>
    <w:next w:val="59"/>
    <w:qFormat/>
    <w:uiPriority w:val="0"/>
    <w:pPr>
      <w:numPr>
        <w:ilvl w:val="4"/>
        <w:numId w:val="4"/>
      </w:numPr>
      <w:outlineLvl w:val="4"/>
    </w:pPr>
  </w:style>
  <w:style w:type="paragraph" w:customStyle="1" w:styleId="81">
    <w:name w:val="二级条标题"/>
    <w:basedOn w:val="76"/>
    <w:next w:val="59"/>
    <w:qFormat/>
    <w:uiPriority w:val="0"/>
    <w:pPr>
      <w:outlineLvl w:val="3"/>
    </w:pPr>
  </w:style>
  <w:style w:type="paragraph" w:customStyle="1" w:styleId="82">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83">
    <w:name w:val="附录五级条标题"/>
    <w:basedOn w:val="71"/>
    <w:next w:val="59"/>
    <w:qFormat/>
    <w:uiPriority w:val="0"/>
    <w:pPr>
      <w:numPr>
        <w:ilvl w:val="6"/>
      </w:numPr>
      <w:outlineLvl w:val="6"/>
    </w:pPr>
  </w:style>
  <w:style w:type="paragraph" w:customStyle="1" w:styleId="84">
    <w:name w:val="标准书眉一"/>
    <w:qFormat/>
    <w:uiPriority w:val="0"/>
    <w:pPr>
      <w:jc w:val="both"/>
    </w:pPr>
    <w:rPr>
      <w:rFonts w:ascii="Times New Roman" w:hAnsi="Times New Roman" w:eastAsia="宋体" w:cs="Times New Roman"/>
      <w:lang w:val="en-US" w:eastAsia="zh-CN" w:bidi="ar-SA"/>
    </w:rPr>
  </w:style>
  <w:style w:type="paragraph" w:customStyle="1" w:styleId="85">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86">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87">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88">
    <w:name w:val="参考文献、索引标题"/>
    <w:basedOn w:val="78"/>
    <w:next w:val="1"/>
    <w:qFormat/>
    <w:uiPriority w:val="0"/>
    <w:pPr>
      <w:numPr>
        <w:numId w:val="0"/>
      </w:numPr>
      <w:spacing w:after="200"/>
    </w:pPr>
    <w:rPr>
      <w:sz w:val="21"/>
    </w:rPr>
  </w:style>
  <w:style w:type="paragraph" w:customStyle="1" w:styleId="89">
    <w:name w:val="发布日期"/>
    <w:qFormat/>
    <w:uiPriority w:val="0"/>
    <w:rPr>
      <w:rFonts w:ascii="Times New Roman" w:hAnsi="Times New Roman" w:eastAsia="黑体" w:cs="Times New Roman"/>
      <w:sz w:val="28"/>
      <w:lang w:val="en-US" w:eastAsia="zh-CN" w:bidi="ar-SA"/>
    </w:rPr>
  </w:style>
  <w:style w:type="paragraph" w:customStyle="1" w:styleId="90">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91">
    <w:name w:val="实施日期"/>
    <w:basedOn w:val="89"/>
    <w:qFormat/>
    <w:uiPriority w:val="0"/>
    <w:pPr>
      <w:jc w:val="right"/>
    </w:pPr>
  </w:style>
  <w:style w:type="paragraph" w:customStyle="1" w:styleId="92">
    <w:name w:val="封面标准号2"/>
    <w:basedOn w:val="90"/>
    <w:qFormat/>
    <w:uiPriority w:val="0"/>
    <w:pPr>
      <w:adjustRightInd w:val="0"/>
      <w:spacing w:before="357" w:line="280" w:lineRule="exact"/>
    </w:pPr>
  </w:style>
  <w:style w:type="paragraph" w:customStyle="1" w:styleId="93">
    <w:name w:val="封面标准代替信息"/>
    <w:basedOn w:val="92"/>
    <w:qFormat/>
    <w:uiPriority w:val="0"/>
    <w:pPr>
      <w:spacing w:before="57"/>
    </w:pPr>
    <w:rPr>
      <w:rFonts w:ascii="宋体"/>
      <w:sz w:val="21"/>
    </w:rPr>
  </w:style>
  <w:style w:type="paragraph" w:customStyle="1" w:styleId="94">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95">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96">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97">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98">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99">
    <w:name w:val="封面正文"/>
    <w:qFormat/>
    <w:uiPriority w:val="0"/>
    <w:pPr>
      <w:jc w:val="both"/>
    </w:pPr>
    <w:rPr>
      <w:rFonts w:ascii="Times New Roman" w:hAnsi="Times New Roman" w:eastAsia="宋体" w:cs="Times New Roman"/>
      <w:lang w:val="en-US" w:eastAsia="zh-CN" w:bidi="ar-SA"/>
    </w:rPr>
  </w:style>
  <w:style w:type="paragraph" w:customStyle="1" w:styleId="100">
    <w:name w:val="附录标识"/>
    <w:basedOn w:val="78"/>
    <w:qFormat/>
    <w:uiPriority w:val="0"/>
    <w:pPr>
      <w:numPr>
        <w:ilvl w:val="0"/>
        <w:numId w:val="3"/>
      </w:numPr>
      <w:tabs>
        <w:tab w:val="left" w:pos="6405"/>
      </w:tabs>
      <w:spacing w:after="200"/>
    </w:pPr>
    <w:rPr>
      <w:sz w:val="21"/>
    </w:rPr>
  </w:style>
  <w:style w:type="paragraph" w:customStyle="1" w:styleId="101">
    <w:name w:val="附录表标题"/>
    <w:next w:val="59"/>
    <w:qFormat/>
    <w:uiPriority w:val="0"/>
    <w:pPr>
      <w:jc w:val="center"/>
      <w:textAlignment w:val="baseline"/>
    </w:pPr>
    <w:rPr>
      <w:rFonts w:ascii="黑体" w:hAnsi="Times New Roman" w:eastAsia="黑体" w:cs="Times New Roman"/>
      <w:kern w:val="21"/>
      <w:sz w:val="21"/>
      <w:lang w:val="en-US" w:eastAsia="zh-CN" w:bidi="ar-SA"/>
    </w:rPr>
  </w:style>
  <w:style w:type="paragraph" w:customStyle="1" w:styleId="102">
    <w:name w:val="附录图标题"/>
    <w:next w:val="59"/>
    <w:qFormat/>
    <w:uiPriority w:val="0"/>
    <w:pPr>
      <w:jc w:val="center"/>
    </w:pPr>
    <w:rPr>
      <w:rFonts w:ascii="黑体" w:hAnsi="Times New Roman" w:eastAsia="黑体" w:cs="Times New Roman"/>
      <w:sz w:val="21"/>
      <w:lang w:val="en-US" w:eastAsia="zh-CN" w:bidi="ar-SA"/>
    </w:rPr>
  </w:style>
  <w:style w:type="paragraph" w:customStyle="1" w:styleId="103">
    <w:name w:val="列项——"/>
    <w:qFormat/>
    <w:uiPriority w:val="0"/>
    <w:pPr>
      <w:widowControl w:val="0"/>
      <w:numPr>
        <w:ilvl w:val="0"/>
        <w:numId w:val="5"/>
      </w:numPr>
      <w:tabs>
        <w:tab w:val="left" w:pos="854"/>
        <w:tab w:val="clear" w:pos="1140"/>
      </w:tabs>
      <w:ind w:left="200" w:leftChars="200" w:hanging="200" w:hangingChars="200"/>
      <w:jc w:val="both"/>
    </w:pPr>
    <w:rPr>
      <w:rFonts w:ascii="宋体" w:hAnsi="Times New Roman" w:eastAsia="宋体" w:cs="Times New Roman"/>
      <w:sz w:val="21"/>
      <w:lang w:val="en-US" w:eastAsia="zh-CN" w:bidi="ar-SA"/>
    </w:rPr>
  </w:style>
  <w:style w:type="paragraph" w:customStyle="1" w:styleId="104">
    <w:name w:val="列项·"/>
    <w:qFormat/>
    <w:uiPriority w:val="0"/>
    <w:pPr>
      <w:numPr>
        <w:ilvl w:val="0"/>
        <w:numId w:val="6"/>
      </w:numPr>
      <w:tabs>
        <w:tab w:val="left" w:pos="840"/>
        <w:tab w:val="clear" w:pos="1140"/>
      </w:tabs>
      <w:ind w:left="840" w:leftChars="200" w:hanging="420" w:hangingChars="200"/>
      <w:jc w:val="both"/>
    </w:pPr>
    <w:rPr>
      <w:rFonts w:ascii="宋体" w:hAnsi="Times New Roman" w:eastAsia="宋体" w:cs="Times New Roman"/>
      <w:sz w:val="21"/>
      <w:lang w:val="en-US" w:eastAsia="zh-CN" w:bidi="ar-SA"/>
    </w:rPr>
  </w:style>
  <w:style w:type="paragraph" w:customStyle="1" w:styleId="105">
    <w:name w:val="目次、标准名称标题"/>
    <w:basedOn w:val="78"/>
    <w:next w:val="59"/>
    <w:qFormat/>
    <w:uiPriority w:val="0"/>
    <w:pPr>
      <w:numPr>
        <w:numId w:val="0"/>
      </w:numPr>
      <w:spacing w:line="460" w:lineRule="exact"/>
    </w:pPr>
  </w:style>
  <w:style w:type="paragraph" w:customStyle="1" w:styleId="106">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07">
    <w:name w:val="三级无标题条"/>
    <w:basedOn w:val="1"/>
    <w:qFormat/>
    <w:uiPriority w:val="0"/>
    <w:pPr>
      <w:numPr>
        <w:ilvl w:val="4"/>
        <w:numId w:val="2"/>
      </w:numPr>
    </w:pPr>
  </w:style>
  <w:style w:type="paragraph" w:customStyle="1" w:styleId="108">
    <w:name w:val="数字编号列项（二级）"/>
    <w:qFormat/>
    <w:uiPriority w:val="0"/>
    <w:pPr>
      <w:ind w:left="1260" w:leftChars="400" w:hanging="420" w:hangingChars="200"/>
      <w:jc w:val="both"/>
    </w:pPr>
    <w:rPr>
      <w:rFonts w:ascii="宋体" w:hAnsi="Times New Roman" w:eastAsia="宋体" w:cs="Times New Roman"/>
      <w:sz w:val="21"/>
      <w:lang w:val="en-US" w:eastAsia="zh-CN" w:bidi="ar-SA"/>
    </w:rPr>
  </w:style>
  <w:style w:type="paragraph" w:customStyle="1" w:styleId="109">
    <w:name w:val="四级条标题"/>
    <w:basedOn w:val="80"/>
    <w:next w:val="59"/>
    <w:qFormat/>
    <w:uiPriority w:val="0"/>
    <w:pPr>
      <w:numPr>
        <w:ilvl w:val="5"/>
      </w:numPr>
      <w:outlineLvl w:val="5"/>
    </w:pPr>
  </w:style>
  <w:style w:type="paragraph" w:customStyle="1" w:styleId="110">
    <w:name w:val="四级无标题条"/>
    <w:basedOn w:val="1"/>
    <w:qFormat/>
    <w:uiPriority w:val="0"/>
    <w:pPr>
      <w:numPr>
        <w:ilvl w:val="5"/>
        <w:numId w:val="2"/>
      </w:numPr>
    </w:pPr>
  </w:style>
  <w:style w:type="paragraph" w:customStyle="1" w:styleId="111">
    <w:name w:val="条文脚注"/>
    <w:basedOn w:val="31"/>
    <w:qFormat/>
    <w:uiPriority w:val="0"/>
    <w:pPr>
      <w:ind w:left="780" w:leftChars="200" w:hanging="360" w:hangingChars="200"/>
      <w:jc w:val="both"/>
    </w:pPr>
    <w:rPr>
      <w:rFonts w:ascii="宋体"/>
    </w:rPr>
  </w:style>
  <w:style w:type="paragraph" w:customStyle="1" w:styleId="112">
    <w:name w:val="图表脚注"/>
    <w:next w:val="59"/>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113">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114">
    <w:name w:val="无标题条"/>
    <w:next w:val="59"/>
    <w:qFormat/>
    <w:uiPriority w:val="0"/>
    <w:pPr>
      <w:jc w:val="both"/>
    </w:pPr>
    <w:rPr>
      <w:rFonts w:ascii="Times New Roman" w:hAnsi="Times New Roman" w:eastAsia="宋体" w:cs="Times New Roman"/>
      <w:sz w:val="21"/>
      <w:lang w:val="en-US" w:eastAsia="zh-CN" w:bidi="ar-SA"/>
    </w:rPr>
  </w:style>
  <w:style w:type="paragraph" w:customStyle="1" w:styleId="115">
    <w:name w:val="五级条标题"/>
    <w:basedOn w:val="109"/>
    <w:next w:val="59"/>
    <w:qFormat/>
    <w:uiPriority w:val="0"/>
    <w:pPr>
      <w:numPr>
        <w:ilvl w:val="6"/>
      </w:numPr>
      <w:outlineLvl w:val="6"/>
    </w:pPr>
  </w:style>
  <w:style w:type="paragraph" w:customStyle="1" w:styleId="116">
    <w:name w:val="五级无标题条"/>
    <w:basedOn w:val="1"/>
    <w:qFormat/>
    <w:uiPriority w:val="0"/>
    <w:pPr>
      <w:numPr>
        <w:ilvl w:val="6"/>
        <w:numId w:val="2"/>
      </w:numPr>
    </w:pPr>
  </w:style>
  <w:style w:type="paragraph" w:customStyle="1" w:styleId="117">
    <w:name w:val="一级无标题条"/>
    <w:basedOn w:val="1"/>
    <w:qFormat/>
    <w:uiPriority w:val="0"/>
  </w:style>
  <w:style w:type="paragraph" w:customStyle="1" w:styleId="118">
    <w:name w:val="正文表标题"/>
    <w:next w:val="59"/>
    <w:qFormat/>
    <w:uiPriority w:val="0"/>
    <w:pPr>
      <w:numPr>
        <w:ilvl w:val="0"/>
        <w:numId w:val="7"/>
      </w:numPr>
      <w:jc w:val="center"/>
    </w:pPr>
    <w:rPr>
      <w:rFonts w:ascii="黑体" w:hAnsi="Times New Roman" w:eastAsia="黑体" w:cs="Times New Roman"/>
      <w:sz w:val="21"/>
      <w:lang w:val="en-US" w:eastAsia="zh-CN" w:bidi="ar-SA"/>
    </w:rPr>
  </w:style>
  <w:style w:type="paragraph" w:customStyle="1" w:styleId="119">
    <w:name w:val="正文图标题"/>
    <w:next w:val="59"/>
    <w:qFormat/>
    <w:uiPriority w:val="0"/>
    <w:pPr>
      <w:numPr>
        <w:ilvl w:val="0"/>
        <w:numId w:val="8"/>
      </w:numPr>
      <w:jc w:val="center"/>
    </w:pPr>
    <w:rPr>
      <w:rFonts w:ascii="黑体" w:hAnsi="Times New Roman" w:eastAsia="黑体" w:cs="Times New Roman"/>
      <w:sz w:val="21"/>
      <w:lang w:val="en-US" w:eastAsia="zh-CN" w:bidi="ar-SA"/>
    </w:rPr>
  </w:style>
  <w:style w:type="paragraph" w:customStyle="1" w:styleId="120">
    <w:name w:val="注："/>
    <w:next w:val="59"/>
    <w:qFormat/>
    <w:uiPriority w:val="0"/>
    <w:pPr>
      <w:widowControl w:val="0"/>
      <w:numPr>
        <w:ilvl w:val="0"/>
        <w:numId w:val="9"/>
      </w:numPr>
      <w:tabs>
        <w:tab w:val="clear" w:pos="1140"/>
      </w:tabs>
      <w:autoSpaceDE w:val="0"/>
      <w:autoSpaceDN w:val="0"/>
      <w:jc w:val="both"/>
    </w:pPr>
    <w:rPr>
      <w:rFonts w:ascii="宋体" w:hAnsi="Times New Roman" w:eastAsia="宋体" w:cs="Times New Roman"/>
      <w:sz w:val="18"/>
      <w:lang w:val="en-US" w:eastAsia="zh-CN" w:bidi="ar-SA"/>
    </w:rPr>
  </w:style>
  <w:style w:type="paragraph" w:customStyle="1" w:styleId="121">
    <w:name w:val="注×："/>
    <w:qFormat/>
    <w:uiPriority w:val="0"/>
    <w:pPr>
      <w:widowControl w:val="0"/>
      <w:numPr>
        <w:ilvl w:val="0"/>
        <w:numId w:val="10"/>
      </w:numPr>
      <w:tabs>
        <w:tab w:val="left" w:pos="630"/>
        <w:tab w:val="clear" w:pos="900"/>
      </w:tabs>
      <w:autoSpaceDE w:val="0"/>
      <w:autoSpaceDN w:val="0"/>
      <w:jc w:val="both"/>
    </w:pPr>
    <w:rPr>
      <w:rFonts w:ascii="宋体" w:hAnsi="Times New Roman" w:eastAsia="宋体" w:cs="Times New Roman"/>
      <w:sz w:val="18"/>
      <w:lang w:val="en-US" w:eastAsia="zh-CN" w:bidi="ar-SA"/>
    </w:rPr>
  </w:style>
  <w:style w:type="paragraph" w:customStyle="1" w:styleId="122">
    <w:name w:val="字母编号列项（一级）"/>
    <w:qFormat/>
    <w:uiPriority w:val="0"/>
    <w:pPr>
      <w:ind w:left="840" w:leftChars="200" w:hanging="420" w:hangingChars="200"/>
      <w:jc w:val="both"/>
    </w:pPr>
    <w:rPr>
      <w:rFonts w:ascii="宋体" w:hAnsi="Times New Roman" w:eastAsia="宋体" w:cs="Times New Roman"/>
      <w:sz w:val="21"/>
      <w:lang w:val="en-US" w:eastAsia="zh-CN" w:bidi="ar-SA"/>
    </w:rPr>
  </w:style>
  <w:style w:type="paragraph" w:customStyle="1" w:styleId="123">
    <w:name w:val="Char Char Char Char Char Char1"/>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24">
    <w:name w:val="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25">
    <w:name w:val="_Style 123"/>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26">
    <w:name w:val="修订1"/>
    <w:hidden/>
    <w:semiHidden/>
    <w:qFormat/>
    <w:uiPriority w:val="99"/>
    <w:rPr>
      <w:rFonts w:ascii="Times New Roman" w:hAnsi="Times New Roman" w:eastAsia="宋体" w:cs="Times New Roman"/>
      <w:kern w:val="2"/>
      <w:sz w:val="21"/>
      <w:lang w:val="en-US" w:eastAsia="zh-CN" w:bidi="ar-SA"/>
    </w:rPr>
  </w:style>
  <w:style w:type="paragraph" w:customStyle="1" w:styleId="127">
    <w:name w:val="列出段落1"/>
    <w:basedOn w:val="1"/>
    <w:qFormat/>
    <w:uiPriority w:val="0"/>
    <w:pPr>
      <w:ind w:firstLine="420" w:firstLineChars="200"/>
    </w:pPr>
    <w:rPr>
      <w:rFonts w:ascii="Calibri" w:hAnsi="Calibri"/>
      <w:szCs w:val="22"/>
    </w:rPr>
  </w:style>
  <w:style w:type="character" w:customStyle="1" w:styleId="128">
    <w:name w:val="批注文字 Char"/>
    <w:basedOn w:val="40"/>
    <w:link w:val="21"/>
    <w:semiHidden/>
    <w:qFormat/>
    <w:uiPriority w:val="0"/>
    <w:rPr>
      <w:kern w:val="2"/>
      <w:sz w:val="21"/>
    </w:rPr>
  </w:style>
  <w:style w:type="paragraph" w:customStyle="1" w:styleId="129">
    <w:name w:val="列出段落2"/>
    <w:basedOn w:val="1"/>
    <w:qFormat/>
    <w:uiPriority w:val="34"/>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中国标准研究中心</Company>
  <Pages>8</Pages>
  <Words>2980</Words>
  <Characters>3249</Characters>
  <Lines>6</Lines>
  <Paragraphs>1</Paragraphs>
  <TotalTime>5</TotalTime>
  <ScaleCrop>false</ScaleCrop>
  <LinksUpToDate>false</LinksUpToDate>
  <CharactersWithSpaces>3384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2018-06-07T08:29:00Z</dcterms:created>
  <dc:creator>USER</dc:creator>
  <cp:lastModifiedBy>刘少勋</cp:lastModifiedBy>
  <cp:lastPrinted>2015-09-09T05:55:00Z</cp:lastPrinted>
  <dcterms:modified xsi:type="dcterms:W3CDTF">2026-08-24T02:16:33Z</dcterms:modified>
  <dc:title>小蔗螟检疫鉴定方法</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3B56EBD57C1A41B0B805E10D1F4AEAFD_13</vt:lpwstr>
  </property>
  <property fmtid="{D5CDD505-2E9C-101B-9397-08002B2CF9AE}" pid="4" name="KSOTemplateDocerSaveRecord">
    <vt:lpwstr>eyJoZGlkIjoiM2E5M2YzODdiZGQwOTMyMTM2NjAxZTkzNWE4NjIwZTgiLCJ1c2VySWQiOiI1MzMzMDE1MDkifQ==</vt:lpwstr>
  </property>
</Properties>
</file>