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C574D9">
      <w:pPr>
        <w:rPr>
          <w:rFonts w:eastAsia="仿宋_GB2312"/>
          <w:b/>
          <w:color w:val="000000"/>
          <w:sz w:val="30"/>
          <w:szCs w:val="30"/>
        </w:rPr>
      </w:pPr>
      <w:r>
        <w:rPr>
          <w:rFonts w:eastAsia="方正仿宋简体"/>
          <w:snapToGrid w:val="0"/>
          <w:color w:val="000000"/>
          <w:kern w:val="0"/>
          <w:sz w:val="32"/>
          <w:szCs w:val="32"/>
        </w:rPr>
        <w:t>附件</w:t>
      </w:r>
      <w:r>
        <w:rPr>
          <w:rFonts w:hint="eastAsia" w:eastAsia="方正仿宋简体"/>
          <w:snapToGrid w:val="0"/>
          <w:color w:val="000000"/>
          <w:kern w:val="0"/>
          <w:sz w:val="32"/>
          <w:szCs w:val="32"/>
        </w:rPr>
        <w:t>7</w:t>
      </w:r>
      <w:r>
        <w:rPr>
          <w:rFonts w:eastAsia="方正仿宋简体"/>
          <w:snapToGrid w:val="0"/>
          <w:color w:val="000000"/>
          <w:kern w:val="0"/>
          <w:sz w:val="32"/>
          <w:szCs w:val="32"/>
        </w:rPr>
        <w:t>：</w:t>
      </w:r>
    </w:p>
    <w:p w14:paraId="262FDAC8">
      <w:pPr>
        <w:autoSpaceDE w:val="0"/>
        <w:autoSpaceDN w:val="0"/>
        <w:adjustRightInd w:val="0"/>
        <w:jc w:val="center"/>
        <w:rPr>
          <w:rFonts w:ascii="方正小标宋简体" w:eastAsia="方正小标宋简体"/>
          <w:sz w:val="32"/>
          <w:szCs w:val="32"/>
        </w:rPr>
      </w:pPr>
      <w:r>
        <w:rPr>
          <w:rFonts w:hint="eastAsia" w:ascii="方正小标宋简体" w:eastAsia="方正小标宋简体"/>
          <w:sz w:val="32"/>
          <w:szCs w:val="32"/>
        </w:rPr>
        <w:t>认证认可</w:t>
      </w:r>
      <w:r>
        <w:rPr>
          <w:rFonts w:ascii="方正小标宋简体" w:eastAsia="方正小标宋简体"/>
          <w:sz w:val="32"/>
          <w:szCs w:val="32"/>
        </w:rPr>
        <w:t>行业标准草案编制说明</w:t>
      </w:r>
    </w:p>
    <w:p w14:paraId="02CC1F7E">
      <w:pPr>
        <w:autoSpaceDE w:val="0"/>
        <w:autoSpaceDN w:val="0"/>
        <w:adjustRightInd w:val="0"/>
        <w:jc w:val="center"/>
        <w:rPr>
          <w:rFonts w:ascii="方正仿宋简体" w:eastAsia="方正仿宋简体"/>
          <w:color w:val="000000"/>
          <w:sz w:val="24"/>
          <w:szCs w:val="24"/>
        </w:rPr>
      </w:pPr>
      <w:r>
        <w:rPr>
          <w:rFonts w:hint="eastAsia" w:ascii="方正仿宋简体" w:eastAsia="方正仿宋简体"/>
          <w:color w:val="000000"/>
          <w:sz w:val="24"/>
          <w:szCs w:val="24"/>
        </w:rPr>
        <w:t>（参考格式）</w:t>
      </w:r>
    </w:p>
    <w:tbl>
      <w:tblPr>
        <w:tblStyle w:val="38"/>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1384"/>
        <w:gridCol w:w="1155"/>
        <w:gridCol w:w="1635"/>
        <w:gridCol w:w="1260"/>
        <w:gridCol w:w="2156"/>
      </w:tblGrid>
      <w:tr w14:paraId="5760D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8" w:hRule="atLeast"/>
        </w:trPr>
        <w:tc>
          <w:tcPr>
            <w:tcW w:w="9384" w:type="dxa"/>
            <w:gridSpan w:val="6"/>
            <w:tcBorders>
              <w:top w:val="nil"/>
              <w:left w:val="nil"/>
              <w:bottom w:val="nil"/>
              <w:right w:val="nil"/>
            </w:tcBorders>
            <w:vAlign w:val="center"/>
          </w:tcPr>
          <w:p w14:paraId="5D30E991">
            <w:pPr>
              <w:rPr>
                <w:rFonts w:ascii="宋体" w:hAnsi="宋体"/>
                <w:b/>
                <w:color w:val="000000"/>
                <w:szCs w:val="21"/>
              </w:rPr>
            </w:pPr>
            <w:r>
              <w:rPr>
                <w:rFonts w:hint="eastAsia" w:ascii="宋体" w:hAnsi="宋体"/>
                <w:b/>
                <w:color w:val="000000"/>
                <w:szCs w:val="21"/>
              </w:rPr>
              <w:t>1、基本信息</w:t>
            </w:r>
          </w:p>
        </w:tc>
      </w:tr>
      <w:tr w14:paraId="3151E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8" w:hRule="atLeast"/>
        </w:trPr>
        <w:tc>
          <w:tcPr>
            <w:tcW w:w="1794" w:type="dxa"/>
            <w:vMerge w:val="restart"/>
            <w:tcBorders>
              <w:top w:val="single" w:color="auto" w:sz="4" w:space="0"/>
              <w:left w:val="single" w:color="auto" w:sz="4" w:space="0"/>
              <w:bottom w:val="single" w:color="auto" w:sz="4" w:space="0"/>
              <w:right w:val="single" w:color="auto" w:sz="4" w:space="0"/>
            </w:tcBorders>
            <w:vAlign w:val="center"/>
          </w:tcPr>
          <w:p w14:paraId="0EED6D72">
            <w:pPr>
              <w:ind w:left="141" w:leftChars="67" w:right="176" w:rightChars="84"/>
              <w:rPr>
                <w:rFonts w:ascii="宋体" w:hAnsi="宋体"/>
                <w:color w:val="000000"/>
                <w:szCs w:val="21"/>
              </w:rPr>
            </w:pPr>
            <w:r>
              <w:rPr>
                <w:rFonts w:ascii="宋体" w:hAnsi="宋体"/>
                <w:color w:val="000000"/>
                <w:szCs w:val="21"/>
              </w:rPr>
              <w:t>1.1 标准草案名称</w:t>
            </w:r>
          </w:p>
        </w:tc>
        <w:tc>
          <w:tcPr>
            <w:tcW w:w="1384" w:type="dxa"/>
            <w:tcBorders>
              <w:top w:val="single" w:color="auto" w:sz="4" w:space="0"/>
              <w:left w:val="single" w:color="auto" w:sz="4" w:space="0"/>
              <w:bottom w:val="single" w:color="auto" w:sz="4" w:space="0"/>
              <w:right w:val="single" w:color="auto" w:sz="4" w:space="0"/>
            </w:tcBorders>
            <w:vAlign w:val="center"/>
          </w:tcPr>
          <w:p w14:paraId="2B278D51">
            <w:pPr>
              <w:jc w:val="center"/>
              <w:rPr>
                <w:rFonts w:ascii="宋体" w:hAnsi="宋体"/>
                <w:color w:val="000000"/>
                <w:szCs w:val="21"/>
              </w:rPr>
            </w:pPr>
            <w:r>
              <w:rPr>
                <w:rFonts w:ascii="宋体" w:hAnsi="宋体"/>
                <w:color w:val="000000"/>
                <w:szCs w:val="21"/>
              </w:rPr>
              <w:t>中文</w:t>
            </w:r>
          </w:p>
        </w:tc>
        <w:tc>
          <w:tcPr>
            <w:tcW w:w="6206" w:type="dxa"/>
            <w:gridSpan w:val="4"/>
            <w:tcBorders>
              <w:top w:val="single" w:color="auto" w:sz="4" w:space="0"/>
              <w:left w:val="single" w:color="auto" w:sz="4" w:space="0"/>
              <w:bottom w:val="single" w:color="auto" w:sz="4" w:space="0"/>
              <w:right w:val="single" w:color="auto" w:sz="4" w:space="0"/>
            </w:tcBorders>
            <w:vAlign w:val="center"/>
          </w:tcPr>
          <w:p w14:paraId="0058A588">
            <w:pPr>
              <w:rPr>
                <w:rFonts w:ascii="宋体" w:hAnsi="宋体"/>
                <w:color w:val="000000"/>
                <w:szCs w:val="21"/>
              </w:rPr>
            </w:pPr>
            <w:r>
              <w:rPr>
                <w:rFonts w:hint="eastAsia" w:ascii="宋体" w:hAnsi="宋体"/>
                <w:color w:val="000000"/>
                <w:szCs w:val="21"/>
              </w:rPr>
              <w:t>温室气体排放核算与报告要求：乳制品生产企业</w:t>
            </w:r>
          </w:p>
        </w:tc>
      </w:tr>
      <w:tr w14:paraId="5F54F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8" w:hRule="atLeast"/>
        </w:trPr>
        <w:tc>
          <w:tcPr>
            <w:tcW w:w="1794" w:type="dxa"/>
            <w:vMerge w:val="continue"/>
            <w:tcBorders>
              <w:top w:val="single" w:color="auto" w:sz="4" w:space="0"/>
              <w:left w:val="single" w:color="auto" w:sz="4" w:space="0"/>
              <w:bottom w:val="single" w:color="auto" w:sz="4" w:space="0"/>
              <w:right w:val="single" w:color="auto" w:sz="4" w:space="0"/>
            </w:tcBorders>
            <w:vAlign w:val="center"/>
          </w:tcPr>
          <w:p w14:paraId="2CADFE89">
            <w:pPr>
              <w:ind w:left="141" w:leftChars="67" w:right="176" w:rightChars="84"/>
              <w:jc w:val="center"/>
              <w:rPr>
                <w:rFonts w:ascii="宋体" w:hAnsi="宋体"/>
                <w:color w:val="000000"/>
                <w:szCs w:val="21"/>
              </w:rPr>
            </w:pPr>
          </w:p>
        </w:tc>
        <w:tc>
          <w:tcPr>
            <w:tcW w:w="1384" w:type="dxa"/>
            <w:tcBorders>
              <w:top w:val="single" w:color="auto" w:sz="4" w:space="0"/>
              <w:left w:val="single" w:color="auto" w:sz="4" w:space="0"/>
              <w:bottom w:val="single" w:color="auto" w:sz="6" w:space="0"/>
              <w:right w:val="single" w:color="auto" w:sz="4" w:space="0"/>
            </w:tcBorders>
            <w:vAlign w:val="center"/>
          </w:tcPr>
          <w:p w14:paraId="17395DBA">
            <w:pPr>
              <w:jc w:val="center"/>
              <w:rPr>
                <w:rFonts w:ascii="宋体" w:hAnsi="宋体"/>
                <w:color w:val="000000"/>
                <w:szCs w:val="21"/>
              </w:rPr>
            </w:pPr>
            <w:r>
              <w:rPr>
                <w:rFonts w:ascii="宋体" w:hAnsi="宋体"/>
                <w:color w:val="000000"/>
                <w:szCs w:val="21"/>
              </w:rPr>
              <w:t>英文</w:t>
            </w:r>
          </w:p>
        </w:tc>
        <w:tc>
          <w:tcPr>
            <w:tcW w:w="6206" w:type="dxa"/>
            <w:gridSpan w:val="4"/>
            <w:tcBorders>
              <w:top w:val="single" w:color="auto" w:sz="4" w:space="0"/>
              <w:left w:val="single" w:color="auto" w:sz="4" w:space="0"/>
              <w:bottom w:val="single" w:color="auto" w:sz="4" w:space="0"/>
            </w:tcBorders>
            <w:vAlign w:val="center"/>
          </w:tcPr>
          <w:sdt>
            <w:sdtPr>
              <w:rPr>
                <w:rFonts w:hint="eastAsia"/>
              </w:rPr>
              <w:alias w:val="标准英文名称"/>
              <w:tag w:val="标准英文名称"/>
              <w:id w:val="-1765446109"/>
              <w:lock w:val="sdtLocked"/>
              <w:placeholder>
                <w:docPart w:val="{3c9c4665-c538-44ee-ac7f-d9d8aa500374}"/>
              </w:placeholder>
              <w:text w:multiLine="1"/>
            </w:sdtPr>
            <w:sdtEndPr>
              <w:rPr>
                <w:rFonts w:hint="eastAsia"/>
              </w:rPr>
            </w:sdtEndPr>
            <w:sdtContent>
              <w:p w14:paraId="374EC9CE">
                <w:r>
                  <w:rPr>
                    <w:rFonts w:hint="eastAsia"/>
                  </w:rPr>
                  <w:t>Requirements of the greenhouse gas emission accounting and reporting—Dairy production and processing enterprise</w:t>
                </w:r>
              </w:p>
            </w:sdtContent>
          </w:sdt>
        </w:tc>
      </w:tr>
      <w:tr w14:paraId="5F443F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3" w:hRule="atLeast"/>
        </w:trPr>
        <w:tc>
          <w:tcPr>
            <w:tcW w:w="1794" w:type="dxa"/>
            <w:vMerge w:val="restart"/>
            <w:tcBorders>
              <w:right w:val="single" w:color="auto" w:sz="4" w:space="0"/>
            </w:tcBorders>
            <w:vAlign w:val="center"/>
          </w:tcPr>
          <w:p w14:paraId="648F775A">
            <w:pPr>
              <w:ind w:left="141" w:leftChars="67" w:right="176" w:rightChars="84"/>
              <w:rPr>
                <w:rFonts w:ascii="宋体" w:hAnsi="宋体"/>
                <w:color w:val="000000"/>
                <w:szCs w:val="21"/>
              </w:rPr>
            </w:pPr>
            <w:r>
              <w:rPr>
                <w:rFonts w:ascii="宋体" w:hAnsi="宋体"/>
                <w:color w:val="000000"/>
                <w:szCs w:val="21"/>
              </w:rPr>
              <w:t>1.2 与国际标准和国外先进标准一致</w:t>
            </w:r>
            <w:r>
              <w:rPr>
                <w:rFonts w:hint="eastAsia" w:ascii="宋体" w:hAnsi="宋体"/>
                <w:color w:val="000000"/>
                <w:szCs w:val="21"/>
              </w:rPr>
              <w:t>性</w:t>
            </w:r>
            <w:r>
              <w:rPr>
                <w:rFonts w:ascii="宋体" w:hAnsi="宋体"/>
                <w:color w:val="000000"/>
                <w:szCs w:val="21"/>
              </w:rPr>
              <w:t>程度情况</w:t>
            </w:r>
          </w:p>
        </w:tc>
        <w:tc>
          <w:tcPr>
            <w:tcW w:w="1384" w:type="dxa"/>
            <w:vMerge w:val="restart"/>
            <w:tcBorders>
              <w:left w:val="single" w:color="auto" w:sz="4" w:space="0"/>
              <w:right w:val="single" w:color="auto" w:sz="4" w:space="0"/>
            </w:tcBorders>
            <w:vAlign w:val="center"/>
          </w:tcPr>
          <w:p w14:paraId="411A1355">
            <w:pPr>
              <w:rPr>
                <w:rFonts w:ascii="宋体" w:hAnsi="宋体"/>
                <w:color w:val="000000"/>
                <w:szCs w:val="21"/>
              </w:rPr>
            </w:pPr>
            <w:r>
              <w:rPr>
                <w:rFonts w:ascii="宋体" w:hAnsi="宋体"/>
                <w:color w:val="000000"/>
                <w:szCs w:val="21"/>
              </w:rPr>
              <w:t>□等同</w:t>
            </w:r>
            <w:r>
              <w:rPr>
                <w:rFonts w:hint="eastAsia" w:ascii="宋体" w:hAnsi="宋体"/>
                <w:color w:val="000000"/>
                <w:szCs w:val="21"/>
              </w:rPr>
              <w:t>采用</w:t>
            </w:r>
          </w:p>
          <w:p w14:paraId="0C8F22FD">
            <w:pPr>
              <w:rPr>
                <w:rFonts w:ascii="宋体" w:hAnsi="宋体"/>
                <w:color w:val="000000"/>
                <w:szCs w:val="21"/>
              </w:rPr>
            </w:pPr>
            <w:r>
              <w:rPr>
                <w:rFonts w:ascii="宋体" w:hAnsi="宋体"/>
                <w:color w:val="000000"/>
                <w:szCs w:val="21"/>
              </w:rPr>
              <w:t>□修改</w:t>
            </w:r>
            <w:r>
              <w:rPr>
                <w:rFonts w:hint="eastAsia" w:ascii="宋体" w:hAnsi="宋体"/>
                <w:color w:val="000000"/>
                <w:szCs w:val="21"/>
              </w:rPr>
              <w:t>采用</w:t>
            </w:r>
          </w:p>
          <w:p w14:paraId="7ACB105C">
            <w:pPr>
              <w:rPr>
                <w:rFonts w:ascii="宋体" w:hAnsi="宋体"/>
                <w:color w:val="000000"/>
                <w:szCs w:val="21"/>
              </w:rPr>
            </w:pPr>
            <w:r>
              <w:rPr>
                <w:rFonts w:ascii="宋体" w:hAnsi="宋体"/>
                <w:color w:val="000000"/>
                <w:szCs w:val="21"/>
              </w:rPr>
              <w:t>□非等效</w:t>
            </w:r>
            <w:r>
              <w:rPr>
                <w:rFonts w:hint="eastAsia" w:ascii="宋体" w:hAnsi="宋体"/>
                <w:color w:val="000000"/>
                <w:szCs w:val="21"/>
              </w:rPr>
              <w:t>采用</w:t>
            </w:r>
          </w:p>
          <w:p w14:paraId="7D7BDFDB">
            <w:pPr>
              <w:rPr>
                <w:rFonts w:ascii="宋体" w:hAnsi="宋体"/>
                <w:color w:val="000000"/>
                <w:szCs w:val="21"/>
              </w:rPr>
            </w:pPr>
            <w:r>
              <w:rPr>
                <w:rFonts w:ascii="宋体" w:hAnsi="宋体"/>
                <w:color w:val="000000"/>
                <w:szCs w:val="21"/>
              </w:rPr>
              <w:sym w:font="Wingdings 2" w:char="0052"/>
            </w:r>
            <w:r>
              <w:rPr>
                <w:rFonts w:hint="eastAsia" w:ascii="宋体" w:hAnsi="宋体"/>
                <w:color w:val="000000"/>
                <w:szCs w:val="21"/>
              </w:rPr>
              <w:t>未采用</w:t>
            </w:r>
          </w:p>
        </w:tc>
        <w:tc>
          <w:tcPr>
            <w:tcW w:w="1155" w:type="dxa"/>
            <w:tcBorders>
              <w:left w:val="single" w:color="auto" w:sz="4" w:space="0"/>
              <w:bottom w:val="single" w:color="auto" w:sz="4" w:space="0"/>
              <w:right w:val="single" w:color="auto" w:sz="4" w:space="0"/>
            </w:tcBorders>
            <w:vAlign w:val="center"/>
          </w:tcPr>
          <w:p w14:paraId="5D91BD43">
            <w:pPr>
              <w:jc w:val="center"/>
              <w:rPr>
                <w:rFonts w:ascii="宋体" w:hAnsi="宋体"/>
                <w:color w:val="000000"/>
                <w:szCs w:val="21"/>
              </w:rPr>
            </w:pPr>
            <w:r>
              <w:rPr>
                <w:rFonts w:ascii="宋体" w:hAnsi="宋体"/>
                <w:color w:val="000000"/>
                <w:szCs w:val="21"/>
              </w:rPr>
              <w:t>标准</w:t>
            </w:r>
            <w:r>
              <w:rPr>
                <w:rFonts w:hint="eastAsia" w:ascii="宋体" w:hAnsi="宋体"/>
                <w:color w:val="000000"/>
                <w:szCs w:val="21"/>
              </w:rPr>
              <w:t>编</w:t>
            </w:r>
            <w:r>
              <w:rPr>
                <w:rFonts w:ascii="宋体" w:hAnsi="宋体"/>
                <w:color w:val="000000"/>
                <w:szCs w:val="21"/>
              </w:rPr>
              <w:t>号</w:t>
            </w:r>
          </w:p>
        </w:tc>
        <w:tc>
          <w:tcPr>
            <w:tcW w:w="5051" w:type="dxa"/>
            <w:gridSpan w:val="3"/>
            <w:tcBorders>
              <w:left w:val="single" w:color="auto" w:sz="4" w:space="0"/>
              <w:bottom w:val="single" w:color="auto" w:sz="4" w:space="0"/>
            </w:tcBorders>
            <w:vAlign w:val="center"/>
          </w:tcPr>
          <w:p w14:paraId="75CD4A1B">
            <w:pPr>
              <w:rPr>
                <w:rFonts w:ascii="宋体" w:hAnsi="宋体"/>
                <w:color w:val="000000"/>
                <w:szCs w:val="21"/>
              </w:rPr>
            </w:pPr>
            <w:r>
              <w:rPr>
                <w:rFonts w:hint="eastAsia" w:ascii="宋体" w:hAnsi="宋体"/>
                <w:color w:val="000000"/>
                <w:szCs w:val="21"/>
              </w:rPr>
              <w:t>无</w:t>
            </w:r>
          </w:p>
        </w:tc>
      </w:tr>
      <w:tr w14:paraId="16C6D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59" w:hRule="atLeast"/>
        </w:trPr>
        <w:tc>
          <w:tcPr>
            <w:tcW w:w="1794" w:type="dxa"/>
            <w:vMerge w:val="continue"/>
            <w:tcBorders>
              <w:right w:val="single" w:color="auto" w:sz="4" w:space="0"/>
            </w:tcBorders>
            <w:vAlign w:val="center"/>
          </w:tcPr>
          <w:p w14:paraId="70E28D60">
            <w:pPr>
              <w:ind w:left="141" w:leftChars="67" w:right="176" w:rightChars="84"/>
              <w:jc w:val="center"/>
              <w:rPr>
                <w:rFonts w:ascii="宋体" w:hAnsi="宋体"/>
                <w:color w:val="000000"/>
                <w:szCs w:val="21"/>
              </w:rPr>
            </w:pPr>
          </w:p>
        </w:tc>
        <w:tc>
          <w:tcPr>
            <w:tcW w:w="1384" w:type="dxa"/>
            <w:vMerge w:val="continue"/>
            <w:tcBorders>
              <w:left w:val="single" w:color="auto" w:sz="4" w:space="0"/>
              <w:right w:val="single" w:color="auto" w:sz="4" w:space="0"/>
            </w:tcBorders>
            <w:vAlign w:val="center"/>
          </w:tcPr>
          <w:p w14:paraId="32D0340F">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423EE84">
            <w:pPr>
              <w:jc w:val="center"/>
              <w:rPr>
                <w:rFonts w:ascii="宋体" w:hAnsi="宋体"/>
                <w:color w:val="000000"/>
                <w:szCs w:val="21"/>
              </w:rPr>
            </w:pPr>
            <w:r>
              <w:rPr>
                <w:rFonts w:ascii="宋体" w:hAnsi="宋体"/>
                <w:color w:val="000000"/>
                <w:szCs w:val="21"/>
              </w:rPr>
              <w:t>英文名称</w:t>
            </w:r>
          </w:p>
        </w:tc>
        <w:tc>
          <w:tcPr>
            <w:tcW w:w="5051" w:type="dxa"/>
            <w:gridSpan w:val="3"/>
            <w:tcBorders>
              <w:top w:val="single" w:color="auto" w:sz="4" w:space="0"/>
              <w:left w:val="single" w:color="auto" w:sz="4" w:space="0"/>
              <w:bottom w:val="single" w:color="auto" w:sz="4" w:space="0"/>
            </w:tcBorders>
            <w:vAlign w:val="center"/>
          </w:tcPr>
          <w:p w14:paraId="00344681">
            <w:pPr>
              <w:rPr>
                <w:rFonts w:ascii="宋体" w:hAnsi="宋体"/>
                <w:color w:val="000000"/>
                <w:szCs w:val="21"/>
              </w:rPr>
            </w:pPr>
            <w:r>
              <w:rPr>
                <w:rFonts w:hint="eastAsia" w:ascii="宋体" w:hAnsi="宋体"/>
                <w:color w:val="000000"/>
                <w:szCs w:val="21"/>
              </w:rPr>
              <w:t>无</w:t>
            </w:r>
          </w:p>
        </w:tc>
      </w:tr>
      <w:tr w14:paraId="77BC8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4" w:hRule="atLeast"/>
        </w:trPr>
        <w:tc>
          <w:tcPr>
            <w:tcW w:w="1794" w:type="dxa"/>
            <w:vMerge w:val="continue"/>
            <w:tcBorders>
              <w:right w:val="single" w:color="auto" w:sz="4" w:space="0"/>
            </w:tcBorders>
            <w:vAlign w:val="center"/>
          </w:tcPr>
          <w:p w14:paraId="74147BDB">
            <w:pPr>
              <w:ind w:left="141" w:leftChars="67" w:right="176" w:rightChars="84"/>
              <w:jc w:val="center"/>
              <w:rPr>
                <w:rFonts w:ascii="宋体" w:hAnsi="宋体"/>
                <w:color w:val="000000"/>
                <w:szCs w:val="21"/>
              </w:rPr>
            </w:pPr>
          </w:p>
        </w:tc>
        <w:tc>
          <w:tcPr>
            <w:tcW w:w="1384" w:type="dxa"/>
            <w:vMerge w:val="continue"/>
            <w:tcBorders>
              <w:left w:val="single" w:color="auto" w:sz="4" w:space="0"/>
              <w:bottom w:val="single" w:color="auto" w:sz="4" w:space="0"/>
              <w:right w:val="single" w:color="auto" w:sz="4" w:space="0"/>
            </w:tcBorders>
            <w:vAlign w:val="center"/>
          </w:tcPr>
          <w:p w14:paraId="19AF092E">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BC89348">
            <w:pPr>
              <w:jc w:val="center"/>
              <w:rPr>
                <w:rFonts w:ascii="宋体" w:hAnsi="宋体"/>
                <w:color w:val="000000"/>
                <w:szCs w:val="21"/>
              </w:rPr>
            </w:pPr>
            <w:r>
              <w:rPr>
                <w:rFonts w:ascii="宋体" w:hAnsi="宋体"/>
                <w:color w:val="000000"/>
                <w:szCs w:val="21"/>
              </w:rPr>
              <w:t>中文名称</w:t>
            </w:r>
          </w:p>
        </w:tc>
        <w:tc>
          <w:tcPr>
            <w:tcW w:w="5051" w:type="dxa"/>
            <w:gridSpan w:val="3"/>
            <w:tcBorders>
              <w:top w:val="single" w:color="auto" w:sz="4" w:space="0"/>
              <w:left w:val="single" w:color="auto" w:sz="4" w:space="0"/>
              <w:bottom w:val="single" w:color="auto" w:sz="4" w:space="0"/>
            </w:tcBorders>
            <w:vAlign w:val="center"/>
          </w:tcPr>
          <w:p w14:paraId="0B03CF6D">
            <w:pPr>
              <w:rPr>
                <w:rFonts w:ascii="宋体" w:hAnsi="宋体"/>
                <w:color w:val="000000"/>
                <w:szCs w:val="21"/>
              </w:rPr>
            </w:pPr>
            <w:r>
              <w:rPr>
                <w:rFonts w:hint="eastAsia" w:ascii="宋体" w:hAnsi="宋体"/>
                <w:color w:val="000000"/>
                <w:szCs w:val="21"/>
              </w:rPr>
              <w:t>无</w:t>
            </w:r>
          </w:p>
        </w:tc>
      </w:tr>
      <w:tr w14:paraId="1AF59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trPr>
        <w:tc>
          <w:tcPr>
            <w:tcW w:w="1794" w:type="dxa"/>
            <w:tcBorders>
              <w:right w:val="single" w:color="auto" w:sz="4" w:space="0"/>
            </w:tcBorders>
            <w:vAlign w:val="center"/>
          </w:tcPr>
          <w:p w14:paraId="0C706143">
            <w:pPr>
              <w:ind w:left="141" w:leftChars="67" w:right="176" w:rightChars="84"/>
              <w:rPr>
                <w:rFonts w:ascii="宋体" w:hAnsi="宋体"/>
                <w:color w:val="000000"/>
                <w:szCs w:val="21"/>
              </w:rPr>
            </w:pPr>
            <w:r>
              <w:rPr>
                <w:rFonts w:ascii="宋体" w:hAnsi="宋体"/>
                <w:color w:val="000000"/>
                <w:szCs w:val="21"/>
              </w:rPr>
              <w:t>1.3 任务来源</w:t>
            </w:r>
          </w:p>
        </w:tc>
        <w:tc>
          <w:tcPr>
            <w:tcW w:w="1384" w:type="dxa"/>
            <w:tcBorders>
              <w:left w:val="single" w:color="auto" w:sz="4" w:space="0"/>
              <w:bottom w:val="single" w:color="auto" w:sz="4" w:space="0"/>
              <w:right w:val="single" w:color="auto" w:sz="4" w:space="0"/>
            </w:tcBorders>
            <w:vAlign w:val="center"/>
          </w:tcPr>
          <w:p w14:paraId="585A195E">
            <w:pPr>
              <w:jc w:val="center"/>
              <w:rPr>
                <w:rFonts w:ascii="宋体" w:hAnsi="宋体"/>
                <w:color w:val="000000"/>
                <w:szCs w:val="21"/>
              </w:rPr>
            </w:pPr>
            <w:r>
              <w:rPr>
                <w:rFonts w:ascii="宋体" w:hAnsi="宋体"/>
                <w:color w:val="000000"/>
                <w:szCs w:val="21"/>
              </w:rPr>
              <w:t>批准立项的文件名称和文件号</w:t>
            </w:r>
          </w:p>
        </w:tc>
        <w:tc>
          <w:tcPr>
            <w:tcW w:w="2790" w:type="dxa"/>
            <w:gridSpan w:val="2"/>
            <w:tcBorders>
              <w:left w:val="single" w:color="auto" w:sz="4" w:space="0"/>
              <w:bottom w:val="single" w:color="auto" w:sz="4" w:space="0"/>
              <w:right w:val="single" w:color="auto" w:sz="4" w:space="0"/>
            </w:tcBorders>
            <w:vAlign w:val="center"/>
          </w:tcPr>
          <w:p w14:paraId="46DA2031">
            <w:pPr>
              <w:rPr>
                <w:rFonts w:ascii="宋体" w:hAnsi="宋体"/>
                <w:color w:val="000000"/>
                <w:szCs w:val="21"/>
              </w:rPr>
            </w:pPr>
            <w:r>
              <w:rPr>
                <w:rFonts w:hint="eastAsia" w:ascii="宋体" w:hAnsi="宋体"/>
                <w:color w:val="000000"/>
                <w:szCs w:val="21"/>
              </w:rPr>
              <w:t>国认监〔2024〕5号</w:t>
            </w:r>
          </w:p>
        </w:tc>
        <w:tc>
          <w:tcPr>
            <w:tcW w:w="1260" w:type="dxa"/>
            <w:tcBorders>
              <w:left w:val="single" w:color="auto" w:sz="4" w:space="0"/>
              <w:bottom w:val="single" w:color="auto" w:sz="4" w:space="0"/>
              <w:right w:val="single" w:color="auto" w:sz="4" w:space="0"/>
            </w:tcBorders>
            <w:vAlign w:val="center"/>
          </w:tcPr>
          <w:p w14:paraId="7AED387D">
            <w:pPr>
              <w:jc w:val="center"/>
              <w:rPr>
                <w:rFonts w:ascii="宋体" w:hAnsi="宋体"/>
                <w:color w:val="000000"/>
                <w:szCs w:val="21"/>
              </w:rPr>
            </w:pPr>
            <w:r>
              <w:rPr>
                <w:rFonts w:ascii="宋体" w:hAnsi="宋体"/>
                <w:color w:val="000000"/>
                <w:szCs w:val="21"/>
              </w:rPr>
              <w:t>计划编号</w:t>
            </w:r>
          </w:p>
        </w:tc>
        <w:tc>
          <w:tcPr>
            <w:tcW w:w="2156" w:type="dxa"/>
            <w:tcBorders>
              <w:left w:val="single" w:color="auto" w:sz="4" w:space="0"/>
              <w:bottom w:val="single" w:color="auto" w:sz="4" w:space="0"/>
            </w:tcBorders>
            <w:vAlign w:val="center"/>
          </w:tcPr>
          <w:p w14:paraId="108EDED1">
            <w:pPr>
              <w:rPr>
                <w:rFonts w:hint="default" w:ascii="宋体" w:hAnsi="宋体" w:eastAsia="宋体"/>
                <w:color w:val="000000"/>
                <w:szCs w:val="21"/>
                <w:lang w:val="en-US" w:eastAsia="zh-CN"/>
              </w:rPr>
            </w:pPr>
            <w:r>
              <w:rPr>
                <w:rFonts w:hint="eastAsia" w:ascii="宋体" w:hAnsi="宋体"/>
                <w:color w:val="000000"/>
                <w:szCs w:val="21"/>
              </w:rPr>
              <w:t>202</w:t>
            </w:r>
            <w:r>
              <w:rPr>
                <w:rFonts w:hint="eastAsia" w:ascii="宋体" w:hAnsi="宋体"/>
                <w:color w:val="000000"/>
                <w:szCs w:val="21"/>
                <w:lang w:val="en-US" w:eastAsia="zh-CN"/>
              </w:rPr>
              <w:t>3</w:t>
            </w:r>
            <w:r>
              <w:rPr>
                <w:rFonts w:hint="eastAsia" w:ascii="宋体" w:hAnsi="宋体"/>
                <w:color w:val="000000"/>
                <w:szCs w:val="21"/>
              </w:rPr>
              <w:t>RB0</w:t>
            </w:r>
            <w:r>
              <w:rPr>
                <w:rFonts w:hint="eastAsia" w:ascii="宋体" w:hAnsi="宋体"/>
                <w:color w:val="000000"/>
                <w:szCs w:val="21"/>
                <w:lang w:val="en-US" w:eastAsia="zh-CN"/>
              </w:rPr>
              <w:t>11</w:t>
            </w:r>
          </w:p>
        </w:tc>
      </w:tr>
      <w:tr w14:paraId="5BA5F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029" w:hRule="atLeast"/>
        </w:trPr>
        <w:tc>
          <w:tcPr>
            <w:tcW w:w="1794" w:type="dxa"/>
            <w:vAlign w:val="center"/>
          </w:tcPr>
          <w:p w14:paraId="1FE6ED6E">
            <w:pPr>
              <w:spacing w:line="360" w:lineRule="exact"/>
              <w:ind w:left="141" w:leftChars="67" w:right="176" w:rightChars="84"/>
              <w:rPr>
                <w:rFonts w:ascii="宋体" w:hAnsi="宋体"/>
                <w:color w:val="000000"/>
                <w:szCs w:val="21"/>
              </w:rPr>
            </w:pPr>
            <w:r>
              <w:rPr>
                <w:rFonts w:hint="eastAsia" w:ascii="宋体" w:hAnsi="宋体"/>
                <w:color w:val="000000"/>
                <w:szCs w:val="21"/>
              </w:rPr>
              <w:t>1.4制（修）订</w:t>
            </w:r>
          </w:p>
        </w:tc>
        <w:tc>
          <w:tcPr>
            <w:tcW w:w="7590" w:type="dxa"/>
            <w:gridSpan w:val="5"/>
            <w:vAlign w:val="center"/>
          </w:tcPr>
          <w:p w14:paraId="23202CAF">
            <w:pPr>
              <w:jc w:val="left"/>
              <w:rPr>
                <w:rFonts w:ascii="宋体" w:hAnsi="宋体"/>
                <w:snapToGrid w:val="0"/>
                <w:color w:val="000000"/>
                <w:kern w:val="0"/>
                <w:szCs w:val="21"/>
              </w:rPr>
            </w:pPr>
            <w:r>
              <w:rPr>
                <w:rFonts w:hint="eastAsia" w:ascii="宋体" w:hAnsi="宋体"/>
                <w:snapToGrid w:val="0"/>
                <w:color w:val="000000"/>
                <w:kern w:val="0"/>
                <w:szCs w:val="21"/>
              </w:rPr>
              <w:sym w:font="Wingdings 2" w:char="0052"/>
            </w:r>
            <w:r>
              <w:rPr>
                <w:rFonts w:hint="eastAsia" w:ascii="宋体" w:hAnsi="宋体"/>
                <w:snapToGrid w:val="0"/>
                <w:color w:val="000000"/>
                <w:kern w:val="0"/>
                <w:szCs w:val="21"/>
              </w:rPr>
              <w:t>制定     □修订</w:t>
            </w:r>
            <w:r>
              <w:rPr>
                <w:rFonts w:hint="eastAsia" w:ascii="宋体" w:hAnsi="宋体"/>
                <w:szCs w:val="21"/>
              </w:rPr>
              <w:t>（被修订标准名称及编号：                      ）</w:t>
            </w:r>
          </w:p>
        </w:tc>
      </w:tr>
      <w:tr w14:paraId="45F9C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5" w:hRule="atLeast"/>
        </w:trPr>
        <w:tc>
          <w:tcPr>
            <w:tcW w:w="1794" w:type="dxa"/>
            <w:vAlign w:val="center"/>
          </w:tcPr>
          <w:p w14:paraId="62096582">
            <w:pPr>
              <w:ind w:left="141" w:leftChars="67" w:right="176" w:rightChars="84"/>
              <w:rPr>
                <w:rFonts w:ascii="宋体" w:hAnsi="宋体"/>
                <w:color w:val="000000"/>
                <w:szCs w:val="21"/>
              </w:rPr>
            </w:pPr>
            <w:r>
              <w:rPr>
                <w:rFonts w:ascii="宋体" w:hAnsi="宋体"/>
                <w:color w:val="000000"/>
                <w:szCs w:val="21"/>
              </w:rPr>
              <w:t>1.5 起止时间</w:t>
            </w:r>
          </w:p>
        </w:tc>
        <w:tc>
          <w:tcPr>
            <w:tcW w:w="7590" w:type="dxa"/>
            <w:gridSpan w:val="5"/>
            <w:vAlign w:val="center"/>
          </w:tcPr>
          <w:p w14:paraId="0E64F047">
            <w:pPr>
              <w:jc w:val="center"/>
              <w:rPr>
                <w:rFonts w:ascii="宋体" w:hAnsi="宋体"/>
                <w:color w:val="000000"/>
                <w:szCs w:val="21"/>
              </w:rPr>
            </w:pPr>
            <w:r>
              <w:rPr>
                <w:rFonts w:hint="eastAsia" w:ascii="宋体" w:hAnsi="宋体"/>
                <w:color w:val="000000"/>
                <w:szCs w:val="21"/>
                <w:highlight w:val="none"/>
              </w:rPr>
              <w:t>202</w:t>
            </w:r>
            <w:r>
              <w:rPr>
                <w:rFonts w:hint="eastAsia" w:ascii="宋体" w:hAnsi="宋体"/>
                <w:color w:val="000000"/>
                <w:szCs w:val="21"/>
                <w:highlight w:val="none"/>
                <w:lang w:val="en-US" w:eastAsia="zh-CN"/>
              </w:rPr>
              <w:t>3</w:t>
            </w:r>
            <w:r>
              <w:rPr>
                <w:rFonts w:ascii="宋体" w:hAnsi="宋体"/>
                <w:color w:val="000000"/>
                <w:szCs w:val="21"/>
                <w:highlight w:val="none"/>
              </w:rPr>
              <w:t>年</w:t>
            </w:r>
            <w:r>
              <w:rPr>
                <w:rFonts w:hint="eastAsia" w:ascii="宋体" w:hAnsi="宋体"/>
                <w:color w:val="000000"/>
                <w:szCs w:val="21"/>
                <w:highlight w:val="none"/>
                <w:lang w:val="en-US" w:eastAsia="zh-CN"/>
              </w:rPr>
              <w:t>5</w:t>
            </w:r>
            <w:r>
              <w:rPr>
                <w:rFonts w:ascii="宋体" w:hAnsi="宋体"/>
                <w:color w:val="000000"/>
                <w:szCs w:val="21"/>
                <w:highlight w:val="none"/>
              </w:rPr>
              <w:t>月---</w:t>
            </w:r>
            <w:r>
              <w:rPr>
                <w:rFonts w:hint="eastAsia" w:ascii="宋体" w:hAnsi="宋体"/>
                <w:color w:val="000000"/>
                <w:szCs w:val="21"/>
                <w:highlight w:val="none"/>
              </w:rPr>
              <w:t>202</w:t>
            </w:r>
            <w:r>
              <w:rPr>
                <w:rFonts w:hint="eastAsia" w:ascii="宋体" w:hAnsi="宋体"/>
                <w:color w:val="000000"/>
                <w:szCs w:val="21"/>
                <w:highlight w:val="none"/>
                <w:lang w:val="en-US" w:eastAsia="zh-CN"/>
              </w:rPr>
              <w:t>4</w:t>
            </w:r>
            <w:r>
              <w:rPr>
                <w:rFonts w:ascii="宋体" w:hAnsi="宋体"/>
                <w:color w:val="000000"/>
                <w:szCs w:val="21"/>
                <w:highlight w:val="none"/>
              </w:rPr>
              <w:t>年</w:t>
            </w:r>
            <w:r>
              <w:rPr>
                <w:rFonts w:hint="eastAsia" w:ascii="宋体" w:hAnsi="宋体"/>
                <w:color w:val="000000"/>
                <w:szCs w:val="21"/>
                <w:highlight w:val="none"/>
                <w:lang w:val="en-US" w:eastAsia="zh-CN"/>
              </w:rPr>
              <w:t>10</w:t>
            </w:r>
            <w:r>
              <w:rPr>
                <w:rFonts w:ascii="宋体" w:hAnsi="宋体"/>
                <w:color w:val="000000"/>
                <w:szCs w:val="21"/>
                <w:highlight w:val="none"/>
              </w:rPr>
              <w:t>月</w:t>
            </w:r>
          </w:p>
        </w:tc>
      </w:tr>
      <w:tr w14:paraId="26FA3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6" w:hRule="atLeast"/>
        </w:trPr>
        <w:tc>
          <w:tcPr>
            <w:tcW w:w="1794" w:type="dxa"/>
            <w:vAlign w:val="center"/>
          </w:tcPr>
          <w:p w14:paraId="76DF4168">
            <w:pPr>
              <w:ind w:left="141" w:leftChars="67" w:right="176" w:rightChars="84"/>
              <w:rPr>
                <w:rFonts w:ascii="宋体" w:hAnsi="宋体"/>
                <w:color w:val="000000"/>
                <w:szCs w:val="21"/>
              </w:rPr>
            </w:pPr>
            <w:r>
              <w:rPr>
                <w:rFonts w:ascii="宋体" w:hAnsi="宋体"/>
                <w:color w:val="000000"/>
                <w:szCs w:val="21"/>
              </w:rPr>
              <w:t xml:space="preserve">1.6 </w:t>
            </w:r>
            <w:r>
              <w:rPr>
                <w:rFonts w:hint="eastAsia" w:ascii="宋体" w:hAnsi="宋体"/>
                <w:color w:val="000000"/>
                <w:szCs w:val="21"/>
              </w:rPr>
              <w:t>标准起草</w:t>
            </w:r>
            <w:r>
              <w:rPr>
                <w:rFonts w:ascii="宋体" w:hAnsi="宋体"/>
                <w:color w:val="000000"/>
                <w:szCs w:val="21"/>
              </w:rPr>
              <w:t>单位</w:t>
            </w:r>
          </w:p>
        </w:tc>
        <w:tc>
          <w:tcPr>
            <w:tcW w:w="7590" w:type="dxa"/>
            <w:gridSpan w:val="5"/>
            <w:vAlign w:val="center"/>
          </w:tcPr>
          <w:p w14:paraId="1CA188C9">
            <w:pPr>
              <w:rPr>
                <w:rFonts w:hint="eastAsia" w:ascii="宋体" w:hAnsi="宋体" w:eastAsia="宋体"/>
                <w:color w:val="000000"/>
                <w:szCs w:val="21"/>
                <w:lang w:eastAsia="zh-CN"/>
              </w:rPr>
            </w:pPr>
            <w:r>
              <w:rPr>
                <w:rFonts w:hint="eastAsia" w:ascii="宋体" w:hAnsi="宋体"/>
                <w:color w:val="000000"/>
                <w:szCs w:val="21"/>
              </w:rPr>
              <w:t>内蒙古蒙牛乳业（集团）股份有限公司</w:t>
            </w:r>
            <w:r>
              <w:rPr>
                <w:rFonts w:hint="eastAsia" w:ascii="宋体" w:hAnsi="宋体"/>
                <w:color w:val="000000"/>
                <w:szCs w:val="21"/>
                <w:lang w:eastAsia="zh-CN"/>
              </w:rPr>
              <w:t>、</w:t>
            </w:r>
            <w:r>
              <w:rPr>
                <w:rFonts w:hint="eastAsia" w:ascii="宋体" w:hAnsi="宋体"/>
                <w:color w:val="000000"/>
                <w:szCs w:val="21"/>
              </w:rPr>
              <w:t>国家市场监督管理总局认证认可技术研究中心、现代牧业（集团）有限公司</w:t>
            </w:r>
          </w:p>
        </w:tc>
      </w:tr>
      <w:tr w14:paraId="0F2FE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37" w:hRule="atLeast"/>
        </w:trPr>
        <w:tc>
          <w:tcPr>
            <w:tcW w:w="1794" w:type="dxa"/>
            <w:vAlign w:val="center"/>
          </w:tcPr>
          <w:p w14:paraId="541C0981">
            <w:pPr>
              <w:ind w:left="141" w:leftChars="67" w:right="176" w:rightChars="84"/>
              <w:rPr>
                <w:rFonts w:ascii="宋体" w:hAnsi="宋体"/>
                <w:color w:val="000000"/>
                <w:szCs w:val="21"/>
              </w:rPr>
            </w:pPr>
            <w:r>
              <w:rPr>
                <w:rFonts w:ascii="宋体" w:hAnsi="宋体"/>
                <w:color w:val="000000"/>
                <w:szCs w:val="21"/>
              </w:rPr>
              <w:t>1.7 起草</w:t>
            </w:r>
            <w:r>
              <w:rPr>
                <w:rFonts w:hint="eastAsia" w:ascii="宋体" w:hAnsi="宋体"/>
                <w:color w:val="000000"/>
                <w:szCs w:val="21"/>
              </w:rPr>
              <w:t>组成员</w:t>
            </w:r>
          </w:p>
        </w:tc>
        <w:tc>
          <w:tcPr>
            <w:tcW w:w="7590" w:type="dxa"/>
            <w:gridSpan w:val="5"/>
            <w:vAlign w:val="center"/>
          </w:tcPr>
          <w:p w14:paraId="770BD92C">
            <w:pPr>
              <w:rPr>
                <w:rFonts w:hint="default" w:ascii="宋体" w:hAnsi="宋体"/>
                <w:color w:val="000000"/>
                <w:szCs w:val="21"/>
                <w:lang w:val="en-US"/>
              </w:rPr>
            </w:pPr>
            <w:r>
              <w:rPr>
                <w:rFonts w:hint="eastAsia"/>
                <w:highlight w:val="none"/>
                <w:lang w:val="en-US" w:eastAsia="zh-CN"/>
              </w:rPr>
              <w:t>张占庭、闫富伟、葛红、谭娅婷、孙天晴、霍伟华等</w:t>
            </w:r>
          </w:p>
        </w:tc>
      </w:tr>
      <w:tr w14:paraId="67FC3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264" w:hRule="exact"/>
        </w:trPr>
        <w:tc>
          <w:tcPr>
            <w:tcW w:w="1794" w:type="dxa"/>
            <w:tcBorders>
              <w:bottom w:val="single" w:color="auto" w:sz="4" w:space="0"/>
            </w:tcBorders>
            <w:vAlign w:val="center"/>
          </w:tcPr>
          <w:p w14:paraId="3DA14234">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8标准体系表内编号</w:t>
            </w:r>
          </w:p>
        </w:tc>
        <w:tc>
          <w:tcPr>
            <w:tcW w:w="7590" w:type="dxa"/>
            <w:gridSpan w:val="5"/>
            <w:tcBorders>
              <w:bottom w:val="single" w:color="auto" w:sz="4" w:space="0"/>
            </w:tcBorders>
            <w:vAlign w:val="center"/>
          </w:tcPr>
          <w:p w14:paraId="2FCA48D3">
            <w:pPr>
              <w:rPr>
                <w:rFonts w:ascii="宋体" w:hAnsi="宋体"/>
                <w:color w:val="000000"/>
                <w:szCs w:val="21"/>
              </w:rPr>
            </w:pPr>
          </w:p>
        </w:tc>
      </w:tr>
      <w:tr w14:paraId="5C140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424" w:hRule="exact"/>
        </w:trPr>
        <w:tc>
          <w:tcPr>
            <w:tcW w:w="1794" w:type="dxa"/>
            <w:tcBorders>
              <w:top w:val="single" w:color="auto" w:sz="4" w:space="0"/>
              <w:left w:val="single" w:color="auto" w:sz="4" w:space="0"/>
              <w:bottom w:val="single" w:color="auto" w:sz="4" w:space="0"/>
              <w:right w:val="single" w:color="auto" w:sz="4" w:space="0"/>
            </w:tcBorders>
            <w:vAlign w:val="center"/>
          </w:tcPr>
          <w:p w14:paraId="237AD671">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9</w:t>
            </w:r>
            <w:r>
              <w:rPr>
                <w:rFonts w:ascii="宋体" w:hAnsi="宋体"/>
                <w:color w:val="000000"/>
                <w:szCs w:val="21"/>
              </w:rPr>
              <w:t>调整情况</w:t>
            </w:r>
          </w:p>
        </w:tc>
        <w:tc>
          <w:tcPr>
            <w:tcW w:w="7590" w:type="dxa"/>
            <w:gridSpan w:val="5"/>
            <w:tcBorders>
              <w:top w:val="single" w:color="auto" w:sz="4" w:space="0"/>
              <w:left w:val="single" w:color="auto" w:sz="4" w:space="0"/>
              <w:bottom w:val="single" w:color="auto" w:sz="4" w:space="0"/>
              <w:right w:val="single" w:color="auto" w:sz="4" w:space="0"/>
            </w:tcBorders>
            <w:vAlign w:val="center"/>
          </w:tcPr>
          <w:p w14:paraId="4081AF30">
            <w:pPr>
              <w:rPr>
                <w:rFonts w:ascii="宋体" w:hAnsi="宋体"/>
                <w:color w:val="000000"/>
                <w:szCs w:val="21"/>
              </w:rPr>
            </w:pPr>
          </w:p>
        </w:tc>
      </w:tr>
    </w:tbl>
    <w:p w14:paraId="232126B6">
      <w:pPr>
        <w:rPr>
          <w:rFonts w:eastAsia="仿宋_GB2312"/>
          <w:b/>
          <w:color w:val="000000"/>
          <w:kern w:val="0"/>
          <w:sz w:val="32"/>
        </w:rPr>
      </w:pPr>
    </w:p>
    <w:tbl>
      <w:tblPr>
        <w:tblStyle w:val="38"/>
        <w:tblpPr w:leftFromText="180" w:rightFromText="180" w:vertAnchor="text" w:horzAnchor="margin" w:tblpXSpec="center" w:tblpY="169"/>
        <w:tblW w:w="95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7732"/>
      </w:tblGrid>
      <w:tr w14:paraId="35BAA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5" w:hRule="exact"/>
          <w:jc w:val="center"/>
        </w:trPr>
        <w:tc>
          <w:tcPr>
            <w:tcW w:w="9526" w:type="dxa"/>
            <w:gridSpan w:val="2"/>
            <w:tcBorders>
              <w:top w:val="nil"/>
              <w:left w:val="nil"/>
              <w:bottom w:val="nil"/>
              <w:right w:val="nil"/>
            </w:tcBorders>
            <w:vAlign w:val="center"/>
          </w:tcPr>
          <w:p w14:paraId="157928E8">
            <w:pPr>
              <w:rPr>
                <w:rFonts w:ascii="宋体" w:hAnsi="宋体"/>
                <w:b/>
                <w:color w:val="000000"/>
                <w:szCs w:val="21"/>
              </w:rPr>
            </w:pPr>
            <w:r>
              <w:rPr>
                <w:rFonts w:hint="eastAsia" w:ascii="宋体" w:hAnsi="宋体"/>
                <w:b/>
                <w:color w:val="000000"/>
                <w:szCs w:val="21"/>
              </w:rPr>
              <w:t>2、背景情况</w:t>
            </w:r>
          </w:p>
        </w:tc>
      </w:tr>
      <w:tr w14:paraId="23083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794" w:type="dxa"/>
            <w:tcBorders>
              <w:top w:val="single" w:color="auto" w:sz="4" w:space="0"/>
              <w:left w:val="single" w:color="auto" w:sz="4" w:space="0"/>
              <w:right w:val="single" w:color="auto" w:sz="4" w:space="0"/>
            </w:tcBorders>
            <w:vAlign w:val="center"/>
          </w:tcPr>
          <w:p w14:paraId="483FD0D6">
            <w:pPr>
              <w:ind w:left="141" w:leftChars="67" w:right="36" w:rightChars="17"/>
              <w:rPr>
                <w:rFonts w:ascii="宋体" w:hAnsi="宋体"/>
                <w:color w:val="000000"/>
                <w:szCs w:val="21"/>
              </w:rPr>
            </w:pPr>
            <w:r>
              <w:rPr>
                <w:rFonts w:ascii="宋体" w:hAnsi="宋体"/>
                <w:color w:val="000000"/>
                <w:szCs w:val="21"/>
              </w:rPr>
              <w:t>2.1 目的、意义</w:t>
            </w:r>
          </w:p>
          <w:p w14:paraId="3FCD0E5A">
            <w:pPr>
              <w:ind w:left="141" w:leftChars="67" w:right="36" w:rightChars="17"/>
              <w:rPr>
                <w:rFonts w:ascii="宋体" w:hAnsi="宋体"/>
                <w:color w:val="000000"/>
                <w:szCs w:val="21"/>
              </w:rPr>
            </w:pPr>
            <w:r>
              <w:rPr>
                <w:rFonts w:hint="eastAsia" w:ascii="宋体" w:hAnsi="宋体"/>
                <w:color w:val="000000"/>
                <w:szCs w:val="21"/>
              </w:rPr>
              <w:t>（工作开展背景及要求）</w:t>
            </w:r>
          </w:p>
        </w:tc>
        <w:tc>
          <w:tcPr>
            <w:tcW w:w="7732" w:type="dxa"/>
            <w:tcBorders>
              <w:top w:val="single" w:color="auto" w:sz="4" w:space="0"/>
              <w:left w:val="single" w:color="auto" w:sz="4" w:space="0"/>
              <w:right w:val="single" w:color="auto" w:sz="4" w:space="0"/>
            </w:tcBorders>
            <w:vAlign w:val="center"/>
          </w:tcPr>
          <w:p w14:paraId="60CD389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000000"/>
                <w:szCs w:val="21"/>
              </w:rPr>
            </w:pPr>
            <w:bookmarkStart w:id="0" w:name="OLE_LINK2"/>
            <w:r>
              <w:rPr>
                <w:rFonts w:hint="eastAsia" w:ascii="宋体" w:hAnsi="宋体"/>
                <w:color w:val="000000"/>
                <w:szCs w:val="21"/>
              </w:rPr>
              <w:t>科学有序地开展碳排放核算是企业推进双碳工作的起点，只有对温室气体排放数据进行准确、完整地监测和统计，才能够使企业客观地了解自身碳排放情况，为减排计划与减排目标的科学制定打下坚实基础。</w:t>
            </w:r>
          </w:p>
          <w:p w14:paraId="1C5518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继习近平主席提出中国“3060”双碳目标后，2021年10月24日国务院印发《2030年前碳达峰行动方案》，强调“建立统一规范的碳排放统计核算体系”的重要性，“支持行业、企业依据自身特点开展碳排放核算方法学研究，建立健全碳排放计量体系”。2022年4月22日国家发改委、国家统计局、生态环境部三部委联合发布《关于加快建立统一规范的碳排放统计核算体系实施方案》，再次强调碳排放统计核算是做好碳达峰碳中和工作的重要基础，将“完善行业企业碳排放核算机制”作为第二项重点任务，明确企业碳排放核算应依据所属主要行业进行，并将有序推进行业企业碳排放报告与核查机制。</w:t>
            </w:r>
          </w:p>
          <w:p w14:paraId="6DB0F0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当前国际国内已分别颁布了企业碳排放核算相关的国际标准和国家标准，明确了各行业企业开展碳排放核算与报告的基本原则，对核算边界、步骤与方法、报告等流程提出了相应要求。同时，国家标准委已在原国家发改委发布的24个行业的企业温室气体排放核算和报告指南的基础之上完成了12个行业的企业碳排放核算和报告国家标准的转化。但乳制品行业未被覆盖，乳制品生产加工企业温室气体排放和报告标准存在空白。</w:t>
            </w:r>
          </w:p>
          <w:p w14:paraId="7B2E06B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000000"/>
                <w:szCs w:val="21"/>
              </w:rPr>
            </w:pPr>
            <w:bookmarkStart w:id="1" w:name="OLE_LINK1"/>
            <w:r>
              <w:rPr>
                <w:rFonts w:hint="eastAsia" w:ascii="宋体" w:hAnsi="宋体"/>
                <w:color w:val="000000"/>
                <w:szCs w:val="21"/>
              </w:rPr>
              <w:t>在国家通用标准框架的基础上，依据乳制品行业特点确定排放源与核算方法、明确碳排放核算与报告要求，能够指导乳制品生产加工企业加强碳排放基础统计和核算领域的能力建设，为乳制品行业制定乃至实现双碳目标提供方法支撑，既必要更可行。</w:t>
            </w:r>
          </w:p>
          <w:bookmarkEnd w:id="0"/>
          <w:p w14:paraId="5412AC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该标准的制定有利于：</w:t>
            </w:r>
          </w:p>
          <w:p w14:paraId="168E86C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（1）对乳制品生产加工企业温室气体排放状况进行管理。通过计算企业温室气体的排放量，发现企业潜在的减排机会，可以为企业设定未来的温室气体排放目标。</w:t>
            </w:r>
          </w:p>
          <w:p w14:paraId="641C9B3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（2）满足强制性温室气体控制的需求。对乳制品生产加工企业温室气体进行科学核算，掌握企业温室气体排放现状与减排空间，有利于合理制定行业领域减排政策，满足国家、地方温室气体排放控制要求。</w:t>
            </w:r>
          </w:p>
          <w:p w14:paraId="48F0A2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000000"/>
                <w:szCs w:val="21"/>
              </w:rPr>
            </w:pPr>
            <w:r>
              <w:rPr>
                <w:rFonts w:hint="eastAsia" w:ascii="宋体" w:hAnsi="宋体"/>
                <w:color w:val="000000"/>
                <w:szCs w:val="21"/>
              </w:rPr>
              <w:t>（3）优化乳制品生产加工企业全产业链管理。乳制品直接面向消费端，通过对乳制品生产加工企业进行科学合理的温室气体核算和控制，一方面可以向产业链上的其他企业提供本企业温室气体排放情况，体现企业的社会责任感；另一方面可以督促上游企业履行减排义务，同时通过碳标签等方式增强消费群体的低碳消费意识。</w:t>
            </w:r>
            <w:bookmarkEnd w:id="1"/>
          </w:p>
        </w:tc>
      </w:tr>
      <w:tr w14:paraId="1E481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862" w:hRule="exact"/>
          <w:jc w:val="center"/>
        </w:trPr>
        <w:tc>
          <w:tcPr>
            <w:tcW w:w="1794" w:type="dxa"/>
            <w:tcBorders>
              <w:top w:val="single" w:color="auto" w:sz="4" w:space="0"/>
              <w:left w:val="single" w:color="auto" w:sz="4" w:space="0"/>
              <w:bottom w:val="single" w:color="auto" w:sz="4" w:space="0"/>
              <w:right w:val="single" w:color="auto" w:sz="4" w:space="0"/>
            </w:tcBorders>
            <w:vAlign w:val="center"/>
          </w:tcPr>
          <w:p w14:paraId="49483679">
            <w:pPr>
              <w:ind w:left="141" w:leftChars="67" w:right="36" w:rightChars="17"/>
              <w:rPr>
                <w:rFonts w:ascii="宋体" w:hAnsi="宋体"/>
                <w:color w:val="000000"/>
                <w:szCs w:val="21"/>
              </w:rPr>
            </w:pPr>
            <w:r>
              <w:rPr>
                <w:rFonts w:ascii="宋体" w:hAnsi="宋体"/>
                <w:color w:val="000000"/>
                <w:szCs w:val="21"/>
              </w:rPr>
              <w:t>2.2 与国内外相关标准、文献的关系</w:t>
            </w:r>
          </w:p>
        </w:tc>
        <w:tc>
          <w:tcPr>
            <w:tcW w:w="7732" w:type="dxa"/>
            <w:tcBorders>
              <w:top w:val="single" w:color="auto" w:sz="4" w:space="0"/>
              <w:left w:val="single" w:color="auto" w:sz="4" w:space="0"/>
              <w:bottom w:val="single" w:color="auto" w:sz="4" w:space="0"/>
              <w:right w:val="single" w:color="auto" w:sz="4" w:space="0"/>
            </w:tcBorders>
            <w:vAlign w:val="center"/>
          </w:tcPr>
          <w:p w14:paraId="5AE58A90">
            <w:pPr>
              <w:keepNext w:val="0"/>
              <w:keepLines w:val="0"/>
              <w:pageBreakBefore w:val="0"/>
              <w:widowControl w:val="0"/>
              <w:kinsoku/>
              <w:wordWrap/>
              <w:overflowPunct/>
              <w:topLinePunct w:val="0"/>
              <w:autoSpaceDE/>
              <w:autoSpaceDN/>
              <w:bidi w:val="0"/>
              <w:adjustRightInd/>
              <w:snapToGrid/>
              <w:spacing w:line="330" w:lineRule="exact"/>
              <w:ind w:firstLine="422" w:firstLineChars="200"/>
              <w:textAlignment w:val="auto"/>
              <w:rPr>
                <w:rFonts w:hint="eastAsia" w:ascii="宋体" w:hAnsi="宋体"/>
                <w:b/>
                <w:bCs/>
                <w:color w:val="000000"/>
                <w:szCs w:val="21"/>
              </w:rPr>
            </w:pPr>
            <w:r>
              <w:rPr>
                <w:rFonts w:hint="eastAsia" w:ascii="宋体" w:hAnsi="宋体"/>
                <w:b/>
                <w:bCs/>
                <w:color w:val="000000"/>
                <w:szCs w:val="21"/>
              </w:rPr>
              <w:t>推荐性国家标准：无</w:t>
            </w:r>
          </w:p>
          <w:p w14:paraId="7D618A47">
            <w:pPr>
              <w:keepNext w:val="0"/>
              <w:keepLines w:val="0"/>
              <w:pageBreakBefore w:val="0"/>
              <w:widowControl w:val="0"/>
              <w:kinsoku/>
              <w:wordWrap/>
              <w:overflowPunct/>
              <w:topLinePunct w:val="0"/>
              <w:autoSpaceDE/>
              <w:autoSpaceDN/>
              <w:bidi w:val="0"/>
              <w:adjustRightInd/>
              <w:snapToGrid/>
              <w:spacing w:line="330" w:lineRule="exact"/>
              <w:ind w:firstLine="422" w:firstLineChars="200"/>
              <w:textAlignment w:val="auto"/>
              <w:rPr>
                <w:rFonts w:hint="eastAsia" w:ascii="宋体" w:hAnsi="宋体"/>
                <w:b/>
                <w:bCs/>
                <w:color w:val="000000"/>
                <w:szCs w:val="21"/>
              </w:rPr>
            </w:pPr>
            <w:r>
              <w:rPr>
                <w:rFonts w:hint="eastAsia" w:ascii="宋体" w:hAnsi="宋体"/>
                <w:b/>
                <w:bCs/>
                <w:color w:val="000000"/>
                <w:szCs w:val="21"/>
              </w:rPr>
              <w:t>推荐性行业标准：无</w:t>
            </w:r>
          </w:p>
          <w:p w14:paraId="13EBB408">
            <w:pPr>
              <w:keepNext w:val="0"/>
              <w:keepLines w:val="0"/>
              <w:pageBreakBefore w:val="0"/>
              <w:widowControl w:val="0"/>
              <w:kinsoku/>
              <w:wordWrap/>
              <w:overflowPunct/>
              <w:topLinePunct w:val="0"/>
              <w:autoSpaceDE/>
              <w:autoSpaceDN/>
              <w:bidi w:val="0"/>
              <w:adjustRightInd/>
              <w:snapToGrid/>
              <w:spacing w:line="330" w:lineRule="exact"/>
              <w:ind w:firstLine="422" w:firstLineChars="200"/>
              <w:textAlignment w:val="auto"/>
              <w:rPr>
                <w:rFonts w:hint="eastAsia" w:ascii="宋体" w:hAnsi="宋体"/>
                <w:b/>
                <w:bCs/>
                <w:color w:val="000000"/>
                <w:szCs w:val="21"/>
              </w:rPr>
            </w:pPr>
            <w:r>
              <w:rPr>
                <w:rFonts w:hint="eastAsia" w:ascii="宋体" w:hAnsi="宋体"/>
                <w:b/>
                <w:bCs/>
                <w:color w:val="000000"/>
                <w:szCs w:val="21"/>
              </w:rPr>
              <w:t>团体标准：无</w:t>
            </w:r>
          </w:p>
          <w:p w14:paraId="45AB4084">
            <w:pPr>
              <w:keepNext w:val="0"/>
              <w:keepLines w:val="0"/>
              <w:pageBreakBefore w:val="0"/>
              <w:widowControl w:val="0"/>
              <w:kinsoku/>
              <w:wordWrap/>
              <w:overflowPunct/>
              <w:topLinePunct w:val="0"/>
              <w:autoSpaceDE/>
              <w:autoSpaceDN/>
              <w:bidi w:val="0"/>
              <w:adjustRightInd/>
              <w:snapToGrid/>
              <w:spacing w:line="330" w:lineRule="exact"/>
              <w:ind w:firstLine="422" w:firstLineChars="200"/>
              <w:textAlignment w:val="auto"/>
              <w:rPr>
                <w:rFonts w:hint="eastAsia" w:ascii="宋体" w:hAnsi="宋体"/>
                <w:b/>
                <w:bCs/>
                <w:color w:val="000000"/>
                <w:szCs w:val="21"/>
              </w:rPr>
            </w:pPr>
            <w:r>
              <w:rPr>
                <w:rFonts w:hint="eastAsia" w:ascii="宋体" w:hAnsi="宋体"/>
                <w:b/>
                <w:bCs/>
                <w:color w:val="000000"/>
                <w:szCs w:val="21"/>
              </w:rPr>
              <w:t>国际、国内相关标准情况：</w:t>
            </w:r>
          </w:p>
          <w:p w14:paraId="26B52DBE">
            <w:pPr>
              <w:keepNext w:val="0"/>
              <w:keepLines w:val="0"/>
              <w:pageBreakBefore w:val="0"/>
              <w:widowControl w:val="0"/>
              <w:kinsoku/>
              <w:wordWrap/>
              <w:overflowPunct/>
              <w:topLinePunct w:val="0"/>
              <w:autoSpaceDE/>
              <w:autoSpaceDN/>
              <w:bidi w:val="0"/>
              <w:adjustRightInd/>
              <w:snapToGrid/>
              <w:spacing w:line="330" w:lineRule="exact"/>
              <w:ind w:firstLine="422" w:firstLineChars="200"/>
              <w:textAlignment w:val="auto"/>
              <w:rPr>
                <w:rFonts w:hint="eastAsia" w:ascii="宋体" w:hAnsi="宋体"/>
                <w:b/>
                <w:bCs/>
                <w:color w:val="000000"/>
                <w:szCs w:val="21"/>
              </w:rPr>
            </w:pPr>
            <w:r>
              <w:rPr>
                <w:rFonts w:hint="eastAsia" w:ascii="宋体" w:hAnsi="宋体"/>
                <w:b/>
                <w:bCs/>
                <w:color w:val="000000"/>
                <w:szCs w:val="21"/>
              </w:rPr>
              <w:t>一、国际标准</w:t>
            </w:r>
          </w:p>
          <w:p w14:paraId="30339673">
            <w:pPr>
              <w:keepNext w:val="0"/>
              <w:keepLines w:val="0"/>
              <w:pageBreakBefore w:val="0"/>
              <w:widowControl w:val="0"/>
              <w:kinsoku/>
              <w:wordWrap/>
              <w:overflowPunct/>
              <w:topLinePunct w:val="0"/>
              <w:autoSpaceDE/>
              <w:autoSpaceDN/>
              <w:bidi w:val="0"/>
              <w:adjustRightInd/>
              <w:snapToGrid/>
              <w:spacing w:line="330" w:lineRule="exact"/>
              <w:ind w:firstLine="420" w:firstLineChars="200"/>
              <w:textAlignment w:val="auto"/>
              <w:rPr>
                <w:rFonts w:hint="eastAsia" w:ascii="宋体" w:hAnsi="宋体"/>
                <w:color w:val="000000"/>
                <w:szCs w:val="21"/>
              </w:rPr>
            </w:pPr>
            <w:r>
              <w:rPr>
                <w:rFonts w:hint="eastAsia" w:ascii="宋体" w:hAnsi="宋体"/>
                <w:color w:val="000000"/>
                <w:szCs w:val="21"/>
              </w:rPr>
              <w:t>国际标准方面，世界资源研究所(WRI)与世界可持续发展工商理事会(WBCSD)自1998年开始合作开发的《温室气体核算体系（GHG Protocol）》，为温室气体的核算提供了方法和标准，其中，《温室气体核算体系 ：企业核算与报告标准》给出了企业温室气体核算与报告原则、清单编制目标及设计、核算边界、排放源识别、排放量核算等较为详实的内容，是温室气体核算体系中最有影响力的标准之一，北美的气候登记处、ISO 14064-1 标准和英国政府颁布的自愿性报告指南都采用了该标准；政府间气候变化专门委员会（IPCC）应《联合国气候变化框架公约》（UNFCCC）邀请编制的《2006年 IPCC 国家温室气体清单指南（2019年修订）》被广泛引用，该指南为国家及各行业领域提供了温室气体排放核算的方法，共分5卷，包括一般指导及报告、能源、工业过程和产品使用、农业、林业和其他土地利用、废弃物；国际标准化组织（ISO）于2006年发布，并于2018年修订了 ISO 14064-1《组织层面温室气体排放及消减的量化及报告指导性规范》，该标准是国际上各行业组织（或公司）的通用标准，规定了在组织（或公司）层次上温室气体清单的设计、制定、管理和报告的原则及要求，具体涵盖确定温室气体核算的组织边界及运行边界、量化温室气体的排放和清除，以及识别改善温室气体管理具体措施或活动等方面的要求，还包括对清单的质量管理、报告、内部审核、组织在核算与报告活动中的职责等方面的要求和指导。</w:t>
            </w:r>
          </w:p>
          <w:p w14:paraId="0C92BF43">
            <w:pPr>
              <w:keepNext w:val="0"/>
              <w:keepLines w:val="0"/>
              <w:pageBreakBefore w:val="0"/>
              <w:widowControl w:val="0"/>
              <w:kinsoku/>
              <w:wordWrap/>
              <w:overflowPunct/>
              <w:topLinePunct w:val="0"/>
              <w:autoSpaceDE/>
              <w:autoSpaceDN/>
              <w:bidi w:val="0"/>
              <w:adjustRightInd/>
              <w:snapToGrid/>
              <w:spacing w:line="330" w:lineRule="exact"/>
              <w:ind w:firstLine="422" w:firstLineChars="200"/>
              <w:textAlignment w:val="auto"/>
              <w:rPr>
                <w:rFonts w:hint="eastAsia" w:ascii="宋体" w:hAnsi="宋体"/>
                <w:b/>
                <w:bCs/>
                <w:color w:val="000000"/>
                <w:szCs w:val="21"/>
              </w:rPr>
            </w:pPr>
            <w:r>
              <w:rPr>
                <w:rFonts w:hint="eastAsia" w:ascii="宋体" w:hAnsi="宋体"/>
                <w:b/>
                <w:bCs/>
                <w:color w:val="000000"/>
                <w:szCs w:val="21"/>
              </w:rPr>
              <w:t>二、国内标准</w:t>
            </w:r>
          </w:p>
          <w:p w14:paraId="676D6373">
            <w:pPr>
              <w:keepNext w:val="0"/>
              <w:keepLines w:val="0"/>
              <w:pageBreakBefore w:val="0"/>
              <w:widowControl w:val="0"/>
              <w:kinsoku/>
              <w:wordWrap/>
              <w:overflowPunct/>
              <w:topLinePunct w:val="0"/>
              <w:autoSpaceDE/>
              <w:autoSpaceDN/>
              <w:bidi w:val="0"/>
              <w:adjustRightInd/>
              <w:snapToGrid/>
              <w:spacing w:line="330" w:lineRule="exact"/>
              <w:ind w:firstLine="420" w:firstLineChars="200"/>
              <w:textAlignment w:val="auto"/>
              <w:rPr>
                <w:rFonts w:hint="eastAsia" w:ascii="宋体" w:hAnsi="宋体"/>
                <w:color w:val="000000"/>
                <w:szCs w:val="21"/>
              </w:rPr>
            </w:pPr>
            <w:r>
              <w:rPr>
                <w:rFonts w:hint="eastAsia" w:ascii="宋体" w:hAnsi="宋体"/>
                <w:color w:val="000000"/>
                <w:szCs w:val="21"/>
              </w:rPr>
              <w:t>国内标准方面，自2015年起全国碳排放管理标准化技术委员会（TC548）先后归口上报并执行了《工业企业温室气体排放核算和报告通则》（GB/T 32150-2015，以下简称“通则”），以及针对发电、电网、镁冶炼、铝冶炼、钢铁生产、民用航空、平板玻璃生产、水泥生产、陶瓷生产、化工生产、煤炭生产、纺织服装12个行业企业的《温室气体排放核算与报告要求》（GB/T 32151.1-2015 至 GB/T 32151.12-2018）。其中，通则规定了企业碳排放核算和报告的基本原则、工作流程、核算边界、核算步骤与方法、核算工作的质量保证、温室气体排放报告内容与格式等内容。各行业企业标准则在通则框架的基础上，结合行业特点进行个性化调整，为相关行业企业碳排放核算及报告提供更具针对性的指导。有关乳制品行业标准，仅有国家发改委在2015年发布的《食品、烟草及酒、饮料和精制茶企业温室气体排放核算方法与报告指南（试行）》，针对乳制品生产加工企业缺乏更为特征化的国家或行业标准，乳制品生产加工企业温室气体排放核算方法尚不明晰。</w:t>
            </w:r>
          </w:p>
          <w:p w14:paraId="566806E0">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color w:val="000000"/>
                <w:szCs w:val="21"/>
              </w:rPr>
            </w:pPr>
            <w:r>
              <w:rPr>
                <w:rFonts w:hint="eastAsia" w:ascii="宋体" w:hAnsi="宋体"/>
                <w:color w:val="000000"/>
                <w:szCs w:val="21"/>
              </w:rPr>
              <w:t>以上国际、国内标准的制定和发布，为</w:t>
            </w:r>
            <w:r>
              <w:rPr>
                <w:rFonts w:hint="eastAsia" w:ascii="宋体" w:hAnsi="宋体"/>
                <w:color w:val="000000"/>
                <w:szCs w:val="21"/>
                <w:lang w:val="en-US" w:eastAsia="zh-CN"/>
              </w:rPr>
              <w:t>本标准</w:t>
            </w:r>
            <w:r>
              <w:rPr>
                <w:rFonts w:hint="eastAsia" w:ascii="宋体" w:hAnsi="宋体"/>
                <w:color w:val="000000"/>
                <w:szCs w:val="21"/>
              </w:rPr>
              <w:t>的制定打下了重要基础。本次标准的制定，将在以上标准的技术指导下，对全国不同区域、不同乳制品生产加工企业碳排放现状进行广泛的调研分析，同时聘请行业和领域专家给予指导，严谨、科学地编制出一套具有特征化的乳制品生产加工企业碳排放核算与报告的参照标准。</w:t>
            </w:r>
          </w:p>
        </w:tc>
      </w:tr>
    </w:tbl>
    <w:p w14:paraId="18902915">
      <w:pPr>
        <w:rPr>
          <w:rFonts w:eastAsia="仿宋_GB2312"/>
          <w:b/>
          <w:color w:val="000000"/>
          <w:kern w:val="0"/>
          <w:sz w:val="32"/>
        </w:rPr>
      </w:pP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7831"/>
      </w:tblGrid>
      <w:tr w14:paraId="057BB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5" w:hRule="exact"/>
        </w:trPr>
        <w:tc>
          <w:tcPr>
            <w:tcW w:w="9625" w:type="dxa"/>
            <w:gridSpan w:val="2"/>
            <w:tcBorders>
              <w:top w:val="nil"/>
              <w:left w:val="nil"/>
              <w:bottom w:val="nil"/>
              <w:right w:val="nil"/>
            </w:tcBorders>
            <w:vAlign w:val="center"/>
          </w:tcPr>
          <w:p w14:paraId="7BC9FB08">
            <w:pPr>
              <w:rPr>
                <w:rFonts w:ascii="宋体" w:hAnsi="宋体"/>
                <w:b/>
                <w:color w:val="000000"/>
                <w:szCs w:val="21"/>
              </w:rPr>
            </w:pPr>
            <w:r>
              <w:rPr>
                <w:rFonts w:hint="eastAsia" w:ascii="宋体" w:hAnsi="宋体"/>
                <w:b/>
                <w:color w:val="000000"/>
                <w:szCs w:val="21"/>
              </w:rPr>
              <w:t>3  编制过程</w:t>
            </w:r>
          </w:p>
        </w:tc>
      </w:tr>
      <w:tr w14:paraId="28F99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947" w:hRule="atLeast"/>
        </w:trPr>
        <w:tc>
          <w:tcPr>
            <w:tcW w:w="1794" w:type="dxa"/>
            <w:tcBorders>
              <w:top w:val="single" w:color="auto" w:sz="4" w:space="0"/>
              <w:bottom w:val="single" w:color="auto" w:sz="4" w:space="0"/>
            </w:tcBorders>
            <w:vAlign w:val="center"/>
          </w:tcPr>
          <w:p w14:paraId="3187B7F0">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1</w:t>
            </w:r>
            <w:r>
              <w:rPr>
                <w:rFonts w:ascii="宋体" w:hAnsi="宋体"/>
                <w:color w:val="000000"/>
                <w:szCs w:val="21"/>
              </w:rPr>
              <w:t xml:space="preserve"> 分工情况</w:t>
            </w:r>
          </w:p>
        </w:tc>
        <w:tc>
          <w:tcPr>
            <w:tcW w:w="7831" w:type="dxa"/>
            <w:tcBorders>
              <w:bottom w:val="single" w:color="auto" w:sz="4" w:space="0"/>
            </w:tcBorders>
            <w:vAlign w:val="center"/>
          </w:tcPr>
          <w:p w14:paraId="642F4C52">
            <w:pPr>
              <w:keepNext w:val="0"/>
              <w:keepLines w:val="0"/>
              <w:pageBreakBefore w:val="0"/>
              <w:widowControl w:val="0"/>
              <w:kinsoku/>
              <w:wordWrap/>
              <w:overflowPunct/>
              <w:topLinePunct w:val="0"/>
              <w:autoSpaceDE/>
              <w:autoSpaceDN/>
              <w:bidi w:val="0"/>
              <w:adjustRightInd/>
              <w:snapToGrid/>
              <w:spacing w:line="380" w:lineRule="exact"/>
              <w:textAlignment w:val="auto"/>
            </w:pPr>
            <w:r>
              <w:rPr>
                <w:rFonts w:hint="eastAsia"/>
              </w:rPr>
              <w:t>一、主要起草单位及职责</w:t>
            </w:r>
          </w:p>
          <w:p w14:paraId="24A556F8">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rPr>
            </w:pPr>
            <w:r>
              <w:rPr>
                <w:rFonts w:hint="eastAsia" w:ascii="宋体" w:hAnsi="宋体"/>
                <w:color w:val="000000"/>
                <w:szCs w:val="21"/>
              </w:rPr>
              <w:t>内蒙古蒙牛乳业（集团）股份有限公司：负责标准编制报批的全面工作，</w:t>
            </w:r>
            <w:r>
              <w:rPr>
                <w:rFonts w:hint="eastAsia"/>
              </w:rPr>
              <w:t>关键技术</w:t>
            </w:r>
            <w:r>
              <w:rPr>
                <w:rFonts w:hint="eastAsia"/>
                <w:lang w:val="en-US" w:eastAsia="zh-CN"/>
              </w:rPr>
              <w:t>研究</w:t>
            </w:r>
            <w:r>
              <w:rPr>
                <w:rFonts w:hint="eastAsia"/>
              </w:rPr>
              <w:t>，组织项目试点实施。</w:t>
            </w:r>
          </w:p>
          <w:p w14:paraId="5D11964F">
            <w:pPr>
              <w:keepNext w:val="0"/>
              <w:keepLines w:val="0"/>
              <w:pageBreakBefore w:val="0"/>
              <w:widowControl w:val="0"/>
              <w:numPr>
                <w:ilvl w:val="0"/>
                <w:numId w:val="11"/>
              </w:numPr>
              <w:kinsoku/>
              <w:wordWrap/>
              <w:overflowPunct/>
              <w:topLinePunct w:val="0"/>
              <w:autoSpaceDE/>
              <w:autoSpaceDN/>
              <w:bidi w:val="0"/>
              <w:adjustRightInd/>
              <w:snapToGrid/>
              <w:spacing w:line="380" w:lineRule="exact"/>
              <w:textAlignment w:val="auto"/>
            </w:pPr>
            <w:r>
              <w:rPr>
                <w:rFonts w:hint="eastAsia"/>
              </w:rPr>
              <w:t>其他起草单位及职责</w:t>
            </w:r>
          </w:p>
          <w:p w14:paraId="0D2B1695">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olor w:val="000000"/>
                <w:szCs w:val="21"/>
              </w:rPr>
            </w:pPr>
            <w:r>
              <w:rPr>
                <w:rFonts w:hint="eastAsia"/>
              </w:rPr>
              <w:t>国家市场监督管理总局认证认可技术研究中心：</w:t>
            </w:r>
            <w:r>
              <w:rPr>
                <w:rFonts w:hint="eastAsia" w:ascii="宋体" w:hAnsi="宋体"/>
                <w:color w:val="000000"/>
                <w:szCs w:val="21"/>
              </w:rPr>
              <w:t>负责标准</w:t>
            </w:r>
            <w:r>
              <w:rPr>
                <w:rFonts w:hint="eastAsia" w:ascii="宋体" w:hAnsi="宋体"/>
                <w:color w:val="000000"/>
                <w:szCs w:val="21"/>
                <w:lang w:val="en-US" w:eastAsia="zh-CN"/>
              </w:rPr>
              <w:t>编制</w:t>
            </w:r>
            <w:r>
              <w:rPr>
                <w:rFonts w:hint="eastAsia"/>
              </w:rPr>
              <w:t>关键技术</w:t>
            </w:r>
            <w:r>
              <w:rPr>
                <w:rFonts w:hint="eastAsia"/>
                <w:lang w:val="en-US" w:eastAsia="zh-CN"/>
              </w:rPr>
              <w:t>指导，支撑标准申报管理；</w:t>
            </w:r>
          </w:p>
          <w:p w14:paraId="538AC6F9">
            <w:pPr>
              <w:keepNext w:val="0"/>
              <w:keepLines w:val="0"/>
              <w:pageBreakBefore w:val="0"/>
              <w:widowControl w:val="0"/>
              <w:kinsoku/>
              <w:wordWrap/>
              <w:overflowPunct/>
              <w:topLinePunct w:val="0"/>
              <w:autoSpaceDE/>
              <w:autoSpaceDN/>
              <w:bidi w:val="0"/>
              <w:adjustRightInd/>
              <w:snapToGrid/>
              <w:spacing w:line="380" w:lineRule="exact"/>
              <w:textAlignment w:val="auto"/>
              <w:rPr>
                <w:rFonts w:ascii="宋体" w:hAnsi="宋体"/>
                <w:color w:val="000000"/>
                <w:szCs w:val="21"/>
              </w:rPr>
            </w:pPr>
            <w:r>
              <w:rPr>
                <w:rFonts w:hint="eastAsia" w:ascii="宋体" w:hAnsi="宋体"/>
                <w:color w:val="000000"/>
                <w:szCs w:val="21"/>
              </w:rPr>
              <w:t>现代牧业（集团）有限公司：负责</w:t>
            </w:r>
            <w:r>
              <w:rPr>
                <w:rFonts w:hint="eastAsia" w:ascii="宋体" w:hAnsi="宋体"/>
                <w:color w:val="000000"/>
                <w:szCs w:val="21"/>
                <w:lang w:val="en-US" w:eastAsia="zh-CN"/>
              </w:rPr>
              <w:t>标准编制相关技术支持。</w:t>
            </w:r>
          </w:p>
        </w:tc>
      </w:tr>
      <w:tr w14:paraId="07E51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543" w:hRule="atLeast"/>
        </w:trPr>
        <w:tc>
          <w:tcPr>
            <w:tcW w:w="1794" w:type="dxa"/>
            <w:tcBorders>
              <w:top w:val="single" w:color="auto" w:sz="4" w:space="0"/>
              <w:bottom w:val="single" w:color="auto" w:sz="4" w:space="0"/>
            </w:tcBorders>
            <w:vAlign w:val="center"/>
          </w:tcPr>
          <w:p w14:paraId="32F5285F">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2起草阶段</w:t>
            </w:r>
          </w:p>
        </w:tc>
        <w:tc>
          <w:tcPr>
            <w:tcW w:w="7831" w:type="dxa"/>
            <w:tcBorders>
              <w:bottom w:val="single" w:color="auto" w:sz="4" w:space="0"/>
            </w:tcBorders>
            <w:vAlign w:val="center"/>
          </w:tcPr>
          <w:p w14:paraId="70CB2E11">
            <w:pPr>
              <w:widowControl/>
              <w:jc w:val="left"/>
              <w:rPr>
                <w:rFonts w:ascii="宋体" w:hAnsi="宋体"/>
                <w:color w:val="000000"/>
                <w:szCs w:val="21"/>
                <w:highlight w:val="none"/>
                <w:lang w:bidi="ar"/>
              </w:rPr>
            </w:pPr>
            <w:r>
              <w:rPr>
                <w:rFonts w:hint="eastAsia" w:ascii="宋体" w:hAnsi="宋体"/>
                <w:color w:val="000000"/>
                <w:szCs w:val="21"/>
                <w:highlight w:val="none"/>
                <w:lang w:bidi="ar"/>
              </w:rPr>
              <w:t>202</w:t>
            </w:r>
            <w:r>
              <w:rPr>
                <w:rFonts w:hint="eastAsia" w:ascii="宋体" w:hAnsi="宋体"/>
                <w:color w:val="000000"/>
                <w:szCs w:val="21"/>
                <w:highlight w:val="none"/>
                <w:lang w:val="en-US" w:eastAsia="zh-CN" w:bidi="ar"/>
              </w:rPr>
              <w:t>3</w:t>
            </w:r>
            <w:r>
              <w:rPr>
                <w:rFonts w:hint="eastAsia" w:ascii="宋体" w:hAnsi="宋体"/>
                <w:color w:val="000000"/>
                <w:szCs w:val="21"/>
                <w:highlight w:val="none"/>
                <w:lang w:bidi="ar"/>
              </w:rPr>
              <w:t>.</w:t>
            </w:r>
            <w:r>
              <w:rPr>
                <w:rFonts w:hint="eastAsia" w:ascii="宋体" w:hAnsi="宋体"/>
                <w:color w:val="000000"/>
                <w:szCs w:val="21"/>
                <w:highlight w:val="none"/>
                <w:lang w:val="en-US" w:eastAsia="zh-CN" w:bidi="ar"/>
              </w:rPr>
              <w:t>05月</w:t>
            </w:r>
            <w:r>
              <w:rPr>
                <w:rFonts w:hint="eastAsia" w:ascii="宋体" w:hAnsi="宋体"/>
                <w:color w:val="000000"/>
                <w:szCs w:val="21"/>
                <w:highlight w:val="none"/>
                <w:lang w:bidi="ar"/>
              </w:rPr>
              <w:t xml:space="preserve"> 国内外标准调研；</w:t>
            </w:r>
          </w:p>
          <w:p w14:paraId="06013D7B">
            <w:pPr>
              <w:widowControl/>
              <w:jc w:val="left"/>
              <w:rPr>
                <w:rFonts w:ascii="宋体" w:hAnsi="宋体"/>
                <w:color w:val="000000"/>
                <w:szCs w:val="21"/>
                <w:highlight w:val="none"/>
                <w:lang w:bidi="ar"/>
              </w:rPr>
            </w:pPr>
            <w:r>
              <w:rPr>
                <w:rFonts w:hint="eastAsia" w:ascii="宋体" w:hAnsi="宋体"/>
                <w:color w:val="000000"/>
                <w:szCs w:val="21"/>
                <w:highlight w:val="none"/>
                <w:lang w:bidi="ar"/>
              </w:rPr>
              <w:t>202</w:t>
            </w:r>
            <w:r>
              <w:rPr>
                <w:rFonts w:hint="eastAsia" w:ascii="宋体" w:hAnsi="宋体"/>
                <w:color w:val="000000"/>
                <w:szCs w:val="21"/>
                <w:highlight w:val="none"/>
                <w:lang w:val="en-US" w:eastAsia="zh-CN" w:bidi="ar"/>
              </w:rPr>
              <w:t>3</w:t>
            </w:r>
            <w:r>
              <w:rPr>
                <w:rFonts w:hint="eastAsia" w:ascii="宋体" w:hAnsi="宋体"/>
                <w:color w:val="000000"/>
                <w:szCs w:val="21"/>
                <w:highlight w:val="none"/>
                <w:lang w:bidi="ar"/>
              </w:rPr>
              <w:t>.0</w:t>
            </w:r>
            <w:r>
              <w:rPr>
                <w:rFonts w:hint="eastAsia" w:ascii="宋体" w:hAnsi="宋体"/>
                <w:color w:val="000000"/>
                <w:szCs w:val="21"/>
                <w:highlight w:val="none"/>
                <w:lang w:val="en-US" w:eastAsia="zh-CN" w:bidi="ar"/>
              </w:rPr>
              <w:t>6</w:t>
            </w:r>
            <w:r>
              <w:rPr>
                <w:rFonts w:hint="eastAsia" w:ascii="宋体" w:hAnsi="宋体"/>
                <w:color w:val="000000"/>
                <w:szCs w:val="21"/>
                <w:highlight w:val="none"/>
                <w:lang w:bidi="ar"/>
              </w:rPr>
              <w:t>-</w:t>
            </w:r>
            <w:r>
              <w:rPr>
                <w:rFonts w:hint="eastAsia" w:ascii="宋体" w:hAnsi="宋体"/>
                <w:color w:val="000000"/>
                <w:szCs w:val="21"/>
                <w:highlight w:val="none"/>
                <w:lang w:val="en-US" w:eastAsia="zh-CN" w:bidi="ar"/>
              </w:rPr>
              <w:t>07月</w:t>
            </w:r>
            <w:r>
              <w:rPr>
                <w:rFonts w:hint="eastAsia" w:ascii="宋体" w:hAnsi="宋体"/>
                <w:color w:val="000000"/>
                <w:szCs w:val="21"/>
                <w:highlight w:val="none"/>
                <w:lang w:bidi="ar"/>
              </w:rPr>
              <w:t xml:space="preserve"> </w:t>
            </w:r>
            <w:bookmarkStart w:id="2" w:name="OLE_LINK3"/>
            <w:r>
              <w:rPr>
                <w:rFonts w:hint="eastAsia" w:ascii="宋体" w:hAnsi="宋体"/>
                <w:color w:val="000000"/>
                <w:szCs w:val="21"/>
                <w:highlight w:val="none"/>
                <w:lang w:bidi="ar"/>
              </w:rPr>
              <w:t>国内外相关</w:t>
            </w:r>
            <w:r>
              <w:rPr>
                <w:rFonts w:hint="eastAsia" w:ascii="宋体" w:hAnsi="宋体"/>
                <w:color w:val="000000"/>
                <w:szCs w:val="21"/>
                <w:highlight w:val="none"/>
                <w:lang w:val="en-US" w:eastAsia="zh-CN" w:bidi="ar"/>
              </w:rPr>
              <w:t>碳核算</w:t>
            </w:r>
            <w:r>
              <w:rPr>
                <w:rFonts w:hint="eastAsia" w:ascii="宋体" w:hAnsi="宋体"/>
                <w:color w:val="000000"/>
                <w:szCs w:val="21"/>
                <w:highlight w:val="none"/>
                <w:lang w:bidi="ar"/>
              </w:rPr>
              <w:t>方法比对研究</w:t>
            </w:r>
            <w:bookmarkEnd w:id="2"/>
            <w:r>
              <w:rPr>
                <w:rFonts w:hint="eastAsia" w:ascii="宋体" w:hAnsi="宋体"/>
                <w:color w:val="000000"/>
                <w:szCs w:val="21"/>
                <w:highlight w:val="none"/>
                <w:lang w:bidi="ar"/>
              </w:rPr>
              <w:t>；</w:t>
            </w:r>
          </w:p>
          <w:p w14:paraId="56EC175F">
            <w:pPr>
              <w:widowControl/>
              <w:jc w:val="left"/>
              <w:rPr>
                <w:rFonts w:ascii="宋体" w:hAnsi="宋体"/>
                <w:color w:val="000000"/>
                <w:szCs w:val="21"/>
                <w:highlight w:val="none"/>
                <w:lang w:bidi="ar"/>
              </w:rPr>
            </w:pPr>
            <w:r>
              <w:rPr>
                <w:rFonts w:hint="eastAsia" w:ascii="宋体" w:hAnsi="宋体"/>
                <w:color w:val="000000"/>
                <w:szCs w:val="21"/>
                <w:highlight w:val="none"/>
                <w:lang w:bidi="ar"/>
              </w:rPr>
              <w:t>202</w:t>
            </w:r>
            <w:r>
              <w:rPr>
                <w:rFonts w:hint="eastAsia" w:ascii="宋体" w:hAnsi="宋体"/>
                <w:color w:val="000000"/>
                <w:szCs w:val="21"/>
                <w:highlight w:val="none"/>
                <w:lang w:val="en-US" w:eastAsia="zh-CN" w:bidi="ar"/>
              </w:rPr>
              <w:t>3</w:t>
            </w:r>
            <w:r>
              <w:rPr>
                <w:rFonts w:hint="eastAsia" w:ascii="宋体" w:hAnsi="宋体"/>
                <w:color w:val="000000"/>
                <w:szCs w:val="21"/>
                <w:highlight w:val="none"/>
                <w:lang w:bidi="ar"/>
              </w:rPr>
              <w:t>.</w:t>
            </w:r>
            <w:r>
              <w:rPr>
                <w:rFonts w:hint="eastAsia" w:ascii="宋体" w:hAnsi="宋体"/>
                <w:color w:val="000000"/>
                <w:szCs w:val="21"/>
                <w:highlight w:val="none"/>
                <w:lang w:val="en-US" w:eastAsia="zh-CN" w:bidi="ar"/>
              </w:rPr>
              <w:t>08-09月</w:t>
            </w:r>
            <w:r>
              <w:rPr>
                <w:rFonts w:hint="eastAsia" w:ascii="宋体" w:hAnsi="宋体"/>
                <w:color w:val="000000"/>
                <w:szCs w:val="21"/>
                <w:highlight w:val="none"/>
                <w:lang w:bidi="ar"/>
              </w:rPr>
              <w:t xml:space="preserve"> 编制</w:t>
            </w:r>
            <w:bookmarkStart w:id="3" w:name="OLE_LINK4"/>
            <w:r>
              <w:rPr>
                <w:rFonts w:hint="eastAsia" w:ascii="宋体" w:hAnsi="宋体"/>
                <w:color w:val="000000"/>
                <w:szCs w:val="21"/>
                <w:highlight w:val="none"/>
                <w:lang w:bidi="ar"/>
              </w:rPr>
              <w:t>《温室气体排放核算与报告要求：乳制品生产企业》</w:t>
            </w:r>
            <w:bookmarkEnd w:id="3"/>
            <w:r>
              <w:rPr>
                <w:rFonts w:hint="eastAsia" w:ascii="宋体" w:hAnsi="宋体"/>
                <w:color w:val="000000"/>
                <w:szCs w:val="21"/>
                <w:highlight w:val="none"/>
                <w:lang w:bidi="ar"/>
              </w:rPr>
              <w:t>（初稿）；</w:t>
            </w:r>
          </w:p>
          <w:p w14:paraId="7299CC5E">
            <w:pPr>
              <w:widowControl/>
              <w:jc w:val="left"/>
              <w:rPr>
                <w:rFonts w:hint="eastAsia" w:ascii="宋体" w:hAnsi="宋体"/>
                <w:color w:val="000000"/>
                <w:szCs w:val="21"/>
                <w:highlight w:val="none"/>
                <w:lang w:val="en-US" w:eastAsia="zh-CN" w:bidi="ar"/>
              </w:rPr>
            </w:pPr>
            <w:r>
              <w:rPr>
                <w:rFonts w:hint="eastAsia" w:ascii="宋体" w:hAnsi="宋体"/>
                <w:color w:val="000000"/>
                <w:szCs w:val="21"/>
                <w:highlight w:val="none"/>
                <w:lang w:bidi="ar"/>
              </w:rPr>
              <w:t>202</w:t>
            </w:r>
            <w:r>
              <w:rPr>
                <w:rFonts w:hint="eastAsia" w:ascii="宋体" w:hAnsi="宋体"/>
                <w:color w:val="000000"/>
                <w:szCs w:val="21"/>
                <w:highlight w:val="none"/>
                <w:lang w:val="en-US" w:eastAsia="zh-CN" w:bidi="ar"/>
              </w:rPr>
              <w:t>3</w:t>
            </w:r>
            <w:r>
              <w:rPr>
                <w:rFonts w:hint="eastAsia" w:ascii="宋体" w:hAnsi="宋体"/>
                <w:color w:val="000000"/>
                <w:szCs w:val="21"/>
                <w:highlight w:val="none"/>
                <w:lang w:bidi="ar"/>
              </w:rPr>
              <w:t>.</w:t>
            </w:r>
            <w:r>
              <w:rPr>
                <w:rFonts w:hint="eastAsia" w:ascii="宋体" w:hAnsi="宋体"/>
                <w:color w:val="000000"/>
                <w:szCs w:val="21"/>
                <w:highlight w:val="none"/>
                <w:lang w:val="en-US" w:eastAsia="zh-CN" w:bidi="ar"/>
              </w:rPr>
              <w:t>10-2024.03月 标准验证；</w:t>
            </w:r>
            <w:bookmarkStart w:id="4" w:name="_GoBack"/>
            <w:bookmarkEnd w:id="4"/>
          </w:p>
          <w:p w14:paraId="6B0E1824">
            <w:pPr>
              <w:widowControl/>
              <w:jc w:val="left"/>
              <w:rPr>
                <w:rFonts w:hint="eastAsia" w:ascii="宋体" w:hAnsi="宋体"/>
                <w:color w:val="000000"/>
                <w:szCs w:val="21"/>
                <w:highlight w:val="none"/>
                <w:lang w:bidi="ar"/>
              </w:rPr>
            </w:pPr>
            <w:r>
              <w:rPr>
                <w:rFonts w:hint="eastAsia" w:ascii="宋体" w:hAnsi="宋体"/>
                <w:color w:val="000000"/>
                <w:szCs w:val="21"/>
                <w:highlight w:val="none"/>
                <w:lang w:val="en-US" w:eastAsia="zh-CN" w:bidi="ar"/>
              </w:rPr>
              <w:t>2024.04-05月</w:t>
            </w:r>
            <w:r>
              <w:rPr>
                <w:rFonts w:hint="eastAsia" w:ascii="宋体" w:hAnsi="宋体"/>
                <w:color w:val="000000"/>
                <w:szCs w:val="21"/>
                <w:highlight w:val="none"/>
                <w:lang w:bidi="ar"/>
              </w:rPr>
              <w:t xml:space="preserve"> </w:t>
            </w:r>
            <w:r>
              <w:rPr>
                <w:rFonts w:hint="eastAsia" w:ascii="宋体" w:hAnsi="宋体"/>
                <w:color w:val="000000"/>
                <w:szCs w:val="21"/>
                <w:highlight w:val="none"/>
                <w:lang w:val="en-US" w:eastAsia="zh-CN" w:bidi="ar"/>
              </w:rPr>
              <w:t>组织</w:t>
            </w:r>
            <w:r>
              <w:rPr>
                <w:rFonts w:hint="eastAsia" w:ascii="宋体" w:hAnsi="宋体"/>
                <w:color w:val="000000"/>
                <w:szCs w:val="21"/>
                <w:highlight w:val="none"/>
                <w:lang w:bidi="ar"/>
              </w:rPr>
              <w:t>专家</w:t>
            </w:r>
            <w:r>
              <w:rPr>
                <w:rFonts w:hint="eastAsia" w:ascii="宋体" w:hAnsi="宋体"/>
                <w:color w:val="000000"/>
                <w:szCs w:val="21"/>
                <w:highlight w:val="none"/>
                <w:lang w:val="en-US" w:eastAsia="zh-CN" w:bidi="ar"/>
              </w:rPr>
              <w:t>论证</w:t>
            </w:r>
            <w:r>
              <w:rPr>
                <w:rFonts w:hint="eastAsia" w:ascii="宋体" w:hAnsi="宋体"/>
                <w:color w:val="000000"/>
                <w:szCs w:val="21"/>
                <w:highlight w:val="none"/>
                <w:lang w:bidi="ar"/>
              </w:rPr>
              <w:t>；</w:t>
            </w:r>
          </w:p>
          <w:p w14:paraId="3D88800B">
            <w:pPr>
              <w:widowControl/>
              <w:jc w:val="left"/>
              <w:rPr>
                <w:rFonts w:ascii="宋体" w:hAnsi="宋体"/>
                <w:color w:val="000000"/>
                <w:szCs w:val="21"/>
                <w:highlight w:val="none"/>
                <w:lang w:bidi="ar"/>
              </w:rPr>
            </w:pPr>
            <w:r>
              <w:rPr>
                <w:rFonts w:hint="eastAsia" w:ascii="宋体" w:hAnsi="宋体"/>
                <w:color w:val="000000"/>
                <w:szCs w:val="21"/>
                <w:highlight w:val="none"/>
                <w:lang w:bidi="ar"/>
              </w:rPr>
              <w:t>202</w:t>
            </w:r>
            <w:r>
              <w:rPr>
                <w:rFonts w:hint="eastAsia" w:ascii="宋体" w:hAnsi="宋体"/>
                <w:color w:val="000000"/>
                <w:szCs w:val="21"/>
                <w:highlight w:val="none"/>
                <w:lang w:val="en-US" w:eastAsia="zh-CN" w:bidi="ar"/>
              </w:rPr>
              <w:t>4</w:t>
            </w:r>
            <w:r>
              <w:rPr>
                <w:rFonts w:hint="eastAsia" w:ascii="宋体" w:hAnsi="宋体"/>
                <w:color w:val="000000"/>
                <w:szCs w:val="21"/>
                <w:highlight w:val="none"/>
                <w:lang w:bidi="ar"/>
              </w:rPr>
              <w:t>.0</w:t>
            </w:r>
            <w:r>
              <w:rPr>
                <w:rFonts w:ascii="宋体" w:hAnsi="宋体"/>
                <w:color w:val="000000"/>
                <w:szCs w:val="21"/>
                <w:highlight w:val="none"/>
                <w:lang w:bidi="ar"/>
              </w:rPr>
              <w:t>6</w:t>
            </w:r>
            <w:r>
              <w:rPr>
                <w:rFonts w:hint="eastAsia" w:ascii="宋体" w:hAnsi="宋体"/>
                <w:color w:val="000000"/>
                <w:szCs w:val="21"/>
                <w:highlight w:val="none"/>
                <w:lang w:bidi="ar"/>
              </w:rPr>
              <w:t>月 根据专家意见，形成《温室气体排放核算与报告要求：乳制品生产企业》（征求意见稿）；</w:t>
            </w:r>
          </w:p>
          <w:p w14:paraId="7C0BF256">
            <w:pPr>
              <w:widowControl/>
              <w:jc w:val="left"/>
              <w:rPr>
                <w:rFonts w:ascii="宋体" w:hAnsi="宋体"/>
                <w:color w:val="000000"/>
                <w:szCs w:val="21"/>
              </w:rPr>
            </w:pPr>
            <w:r>
              <w:rPr>
                <w:rFonts w:hint="eastAsia" w:ascii="宋体" w:hAnsi="宋体"/>
                <w:color w:val="000000"/>
                <w:szCs w:val="21"/>
                <w:highlight w:val="none"/>
                <w:lang w:bidi="ar"/>
              </w:rPr>
              <w:t>202</w:t>
            </w:r>
            <w:r>
              <w:rPr>
                <w:rFonts w:hint="eastAsia" w:ascii="宋体" w:hAnsi="宋体"/>
                <w:color w:val="000000"/>
                <w:szCs w:val="21"/>
                <w:highlight w:val="none"/>
                <w:lang w:val="en-US" w:eastAsia="zh-CN" w:bidi="ar"/>
              </w:rPr>
              <w:t>4.07</w:t>
            </w:r>
            <w:r>
              <w:rPr>
                <w:rFonts w:hint="eastAsia" w:ascii="宋体" w:hAnsi="宋体"/>
                <w:color w:val="000000"/>
                <w:szCs w:val="21"/>
                <w:highlight w:val="none"/>
                <w:lang w:bidi="ar"/>
              </w:rPr>
              <w:t>月 向社会公开征求意见。</w:t>
            </w:r>
          </w:p>
        </w:tc>
      </w:tr>
      <w:tr w14:paraId="3F238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569" w:hRule="atLeast"/>
        </w:trPr>
        <w:tc>
          <w:tcPr>
            <w:tcW w:w="1794" w:type="dxa"/>
            <w:tcBorders>
              <w:top w:val="single" w:color="auto" w:sz="4" w:space="0"/>
              <w:bottom w:val="single" w:color="auto" w:sz="6" w:space="0"/>
            </w:tcBorders>
            <w:vAlign w:val="center"/>
          </w:tcPr>
          <w:p w14:paraId="1EC8336A">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3征求意见阶段</w:t>
            </w:r>
          </w:p>
        </w:tc>
        <w:tc>
          <w:tcPr>
            <w:tcW w:w="7831" w:type="dxa"/>
            <w:tcBorders>
              <w:top w:val="single" w:color="auto" w:sz="4" w:space="0"/>
              <w:bottom w:val="single" w:color="auto" w:sz="6" w:space="0"/>
            </w:tcBorders>
            <w:vAlign w:val="center"/>
          </w:tcPr>
          <w:p w14:paraId="6B716572">
            <w:pPr>
              <w:widowControl/>
              <w:jc w:val="left"/>
              <w:rPr>
                <w:rFonts w:ascii="宋体" w:hAnsi="宋体"/>
                <w:color w:val="000000"/>
                <w:szCs w:val="21"/>
              </w:rPr>
            </w:pPr>
          </w:p>
        </w:tc>
      </w:tr>
      <w:tr w14:paraId="605C8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73" w:hRule="atLeast"/>
        </w:trPr>
        <w:tc>
          <w:tcPr>
            <w:tcW w:w="1794" w:type="dxa"/>
            <w:tcBorders>
              <w:top w:val="single" w:color="auto" w:sz="6" w:space="0"/>
              <w:bottom w:val="single" w:color="auto" w:sz="6" w:space="0"/>
            </w:tcBorders>
            <w:vAlign w:val="center"/>
          </w:tcPr>
          <w:p w14:paraId="5C8817DE">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4标准预审查阶段</w:t>
            </w:r>
          </w:p>
        </w:tc>
        <w:tc>
          <w:tcPr>
            <w:tcW w:w="7831" w:type="dxa"/>
            <w:tcBorders>
              <w:top w:val="single" w:color="auto" w:sz="6" w:space="0"/>
              <w:bottom w:val="single" w:color="auto" w:sz="6" w:space="0"/>
            </w:tcBorders>
            <w:vAlign w:val="center"/>
          </w:tcPr>
          <w:p w14:paraId="668373A2">
            <w:pPr>
              <w:jc w:val="left"/>
              <w:rPr>
                <w:rFonts w:ascii="宋体" w:hAnsi="宋体"/>
                <w:color w:val="000000"/>
                <w:szCs w:val="21"/>
              </w:rPr>
            </w:pPr>
          </w:p>
        </w:tc>
      </w:tr>
      <w:tr w14:paraId="2C4EC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833" w:hRule="atLeast"/>
        </w:trPr>
        <w:tc>
          <w:tcPr>
            <w:tcW w:w="1794" w:type="dxa"/>
            <w:tcBorders>
              <w:top w:val="single" w:color="auto" w:sz="6" w:space="0"/>
              <w:bottom w:val="single" w:color="auto" w:sz="6" w:space="0"/>
            </w:tcBorders>
            <w:vAlign w:val="center"/>
          </w:tcPr>
          <w:p w14:paraId="2EF1384E">
            <w:pPr>
              <w:ind w:left="141" w:leftChars="67" w:right="176" w:rightChars="84"/>
              <w:rPr>
                <w:rFonts w:ascii="宋体" w:hAnsi="宋体"/>
                <w:color w:val="000000"/>
                <w:szCs w:val="21"/>
              </w:rPr>
            </w:pPr>
            <w:r>
              <w:rPr>
                <w:rFonts w:hint="eastAsia" w:ascii="宋体" w:hAnsi="宋体"/>
                <w:color w:val="000000"/>
                <w:szCs w:val="21"/>
              </w:rPr>
              <w:t>3.5标准审查阶段</w:t>
            </w:r>
          </w:p>
        </w:tc>
        <w:tc>
          <w:tcPr>
            <w:tcW w:w="7831" w:type="dxa"/>
            <w:tcBorders>
              <w:top w:val="single" w:color="auto" w:sz="6" w:space="0"/>
              <w:bottom w:val="single" w:color="auto" w:sz="6" w:space="0"/>
            </w:tcBorders>
            <w:vAlign w:val="center"/>
          </w:tcPr>
          <w:p w14:paraId="7CF70BDB">
            <w:pPr>
              <w:jc w:val="left"/>
              <w:rPr>
                <w:rFonts w:ascii="宋体" w:hAnsi="宋体"/>
                <w:color w:val="000000"/>
                <w:szCs w:val="21"/>
              </w:rPr>
            </w:pPr>
          </w:p>
        </w:tc>
      </w:tr>
    </w:tbl>
    <w:p w14:paraId="1D1BA60A">
      <w:pPr>
        <w:rPr>
          <w:rFonts w:eastAsia="仿宋_GB2312"/>
          <w:b/>
          <w:color w:val="000000"/>
          <w:kern w:val="0"/>
          <w:sz w:val="32"/>
        </w:rPr>
      </w:pPr>
      <w:r>
        <w:rPr>
          <w:rFonts w:eastAsia="仿宋_GB2312"/>
          <w:b/>
          <w:color w:val="000000"/>
          <w:kern w:val="0"/>
          <w:sz w:val="32"/>
        </w:rPr>
        <w:br w:type="page"/>
      </w: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625"/>
      </w:tblGrid>
      <w:tr w14:paraId="339E7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13" w:hRule="atLeast"/>
        </w:trPr>
        <w:tc>
          <w:tcPr>
            <w:tcW w:w="9625" w:type="dxa"/>
            <w:tcBorders>
              <w:top w:val="nil"/>
              <w:left w:val="nil"/>
              <w:bottom w:val="single" w:color="auto" w:sz="4" w:space="0"/>
              <w:right w:val="nil"/>
            </w:tcBorders>
            <w:vAlign w:val="center"/>
          </w:tcPr>
          <w:p w14:paraId="2519E419">
            <w:pPr>
              <w:rPr>
                <w:rFonts w:ascii="宋体" w:hAnsi="宋体"/>
                <w:b/>
                <w:color w:val="000000"/>
                <w:szCs w:val="21"/>
              </w:rPr>
            </w:pPr>
            <w:r>
              <w:rPr>
                <w:rFonts w:hint="eastAsia" w:ascii="宋体" w:hAnsi="宋体"/>
                <w:b/>
                <w:color w:val="000000"/>
                <w:szCs w:val="21"/>
              </w:rPr>
              <w:t>4  主要技术内容的确定</w:t>
            </w:r>
          </w:p>
        </w:tc>
      </w:tr>
      <w:tr w14:paraId="1110B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1993" w:hRule="atLeast"/>
        </w:trPr>
        <w:tc>
          <w:tcPr>
            <w:tcW w:w="9625" w:type="dxa"/>
            <w:tcBorders>
              <w:top w:val="single" w:color="auto" w:sz="4" w:space="0"/>
              <w:left w:val="single" w:color="auto" w:sz="4" w:space="0"/>
              <w:bottom w:val="single" w:color="auto" w:sz="4" w:space="0"/>
              <w:right w:val="single" w:color="auto" w:sz="4" w:space="0"/>
            </w:tcBorders>
          </w:tcPr>
          <w:p w14:paraId="6FCE2E5B">
            <w:pPr>
              <w:pStyle w:val="130"/>
              <w:keepNext w:val="0"/>
              <w:keepLines w:val="0"/>
              <w:pageBreakBefore w:val="0"/>
              <w:widowControl/>
              <w:kinsoku/>
              <w:wordWrap/>
              <w:overflowPunct/>
              <w:topLinePunct w:val="0"/>
              <w:autoSpaceDE w:val="0"/>
              <w:autoSpaceDN w:val="0"/>
              <w:bidi w:val="0"/>
              <w:adjustRightInd/>
              <w:snapToGrid/>
              <w:spacing w:before="146" w:beforeLines="50" w:line="360" w:lineRule="auto"/>
              <w:ind w:firstLine="420"/>
              <w:textAlignment w:val="auto"/>
              <w:rPr>
                <w:rFonts w:hint="eastAsia"/>
              </w:rPr>
            </w:pPr>
            <w:r>
              <w:rPr>
                <w:rFonts w:hint="eastAsia"/>
              </w:rPr>
              <w:t>本文件给出了乳制品生产企业温室气体排放核算方法和报告</w:t>
            </w:r>
            <w:r>
              <w:rPr>
                <w:rFonts w:hint="eastAsia"/>
                <w:lang w:val="en-US" w:eastAsia="zh-CN"/>
              </w:rPr>
              <w:t>相关</w:t>
            </w:r>
            <w:r>
              <w:rPr>
                <w:rFonts w:hint="eastAsia"/>
              </w:rPr>
              <w:t>的</w:t>
            </w:r>
            <w:r>
              <w:rPr>
                <w:rFonts w:hint="eastAsia"/>
                <w:lang w:val="en-US" w:eastAsia="zh-CN"/>
              </w:rPr>
              <w:t>术语、核算边界、</w:t>
            </w:r>
            <w:r>
              <w:rPr>
                <w:rFonts w:hint="eastAsia"/>
              </w:rPr>
              <w:t>核算步骤、</w:t>
            </w:r>
            <w:r>
              <w:rPr>
                <w:rFonts w:hint="eastAsia"/>
                <w:lang w:val="en-US" w:eastAsia="zh-CN"/>
              </w:rPr>
              <w:t>和</w:t>
            </w:r>
            <w:r>
              <w:rPr>
                <w:rFonts w:hint="eastAsia"/>
              </w:rPr>
              <w:t>核算方法、数据质量</w:t>
            </w:r>
            <w:r>
              <w:rPr>
                <w:rFonts w:hint="eastAsia"/>
                <w:lang w:val="en-US" w:eastAsia="zh-CN"/>
              </w:rPr>
              <w:t>管理、</w:t>
            </w:r>
            <w:r>
              <w:rPr>
                <w:rFonts w:hint="eastAsia"/>
              </w:rPr>
              <w:t>报告内容和格式。</w:t>
            </w:r>
          </w:p>
          <w:p w14:paraId="00B726D9">
            <w:pPr>
              <w:pStyle w:val="59"/>
              <w:keepNext w:val="0"/>
              <w:keepLines w:val="0"/>
              <w:pageBreakBefore w:val="0"/>
              <w:widowControl/>
              <w:tabs>
                <w:tab w:val="center" w:pos="4201"/>
                <w:tab w:val="right" w:leader="dot" w:pos="9298"/>
              </w:tabs>
              <w:kinsoku/>
              <w:wordWrap/>
              <w:overflowPunct/>
              <w:topLinePunct w:val="0"/>
              <w:autoSpaceDE/>
              <w:autoSpaceDN/>
              <w:bidi w:val="0"/>
              <w:adjustRightInd/>
              <w:snapToGrid/>
              <w:spacing w:line="360" w:lineRule="auto"/>
              <w:ind w:firstLine="422"/>
              <w:jc w:val="left"/>
              <w:textAlignment w:val="auto"/>
              <w:rPr>
                <w:rFonts w:hint="eastAsia"/>
              </w:rPr>
            </w:pPr>
            <w:r>
              <w:rPr>
                <w:rFonts w:hint="eastAsia"/>
              </w:rPr>
              <w:t>本文件适用于乳制品生产企业温室气体排放核算和报告，以乳制品生产为主营业务的企业可按照本文件提供的方法核算温室气体排放，并编制企业温室气体排放报告。如乳制品生产企业除乳制品外还存在其他产品生产活动且存在温室气体排放的，则应按照相关行业的温室气体排放核算与报告要求标准进行核算并汇总报告。</w:t>
            </w:r>
          </w:p>
          <w:p w14:paraId="65FA8BF0">
            <w:pPr>
              <w:pStyle w:val="59"/>
              <w:keepNext w:val="0"/>
              <w:keepLines w:val="0"/>
              <w:pageBreakBefore w:val="0"/>
              <w:widowControl/>
              <w:tabs>
                <w:tab w:val="center" w:pos="4201"/>
                <w:tab w:val="right" w:leader="dot" w:pos="9298"/>
              </w:tabs>
              <w:kinsoku/>
              <w:wordWrap/>
              <w:overflowPunct/>
              <w:topLinePunct w:val="0"/>
              <w:autoSpaceDE/>
              <w:autoSpaceDN/>
              <w:bidi w:val="0"/>
              <w:adjustRightInd/>
              <w:snapToGrid/>
              <w:spacing w:line="360" w:lineRule="auto"/>
              <w:ind w:firstLine="422"/>
              <w:jc w:val="left"/>
              <w:textAlignment w:val="auto"/>
              <w:rPr>
                <w:rFonts w:hint="eastAsia" w:ascii="宋体" w:hAnsi="宋体"/>
                <w:color w:val="000000"/>
                <w:szCs w:val="21"/>
              </w:rPr>
            </w:pPr>
            <w:r>
              <w:rPr>
                <w:rFonts w:hint="eastAsia" w:ascii="宋体" w:hAnsi="宋体"/>
                <w:color w:val="000000"/>
                <w:szCs w:val="21"/>
              </w:rPr>
              <w:t>主要技术内容包括范围、规范性引用文件、术语和定义、核算边界、核算步骤和核算方法、数据质量管理、报告内容和格式等7个章节，以及附录A、附录B，具体如下：</w:t>
            </w:r>
          </w:p>
          <w:p w14:paraId="78F6CCFE">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第一章 范围：规定了标准的适用范围。</w:t>
            </w:r>
          </w:p>
          <w:p w14:paraId="3E46A632">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第二章 规范性引用文件：列出了该标准引用的主要文件。</w:t>
            </w:r>
          </w:p>
          <w:p w14:paraId="429EB359">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第三章 术语和定义：列出了标准中涉及的术语和定义。</w:t>
            </w:r>
          </w:p>
          <w:p w14:paraId="1B926B0A">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第四章 核算边界：明确了乳制品生产加工企业温室气体排放核算边界及应报告的排放范围</w:t>
            </w:r>
          </w:p>
          <w:p w14:paraId="13234388">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第五章 核算步骤和核算方法：列出了乳制品生产加工企业温室气体排放核算和报告的步骤，明确了乳制品生产加工企业温室气体排放核算方法，包括总量、燃料燃烧排放、废水厌氧处理排放、制冷过程逸散排放、购入的电力、热力对应的排放以及输出的电力、热力对应的排放。给出每个排放源的排放计算公式，活动数据以及排放因子数据的获取方法。</w:t>
            </w:r>
          </w:p>
          <w:p w14:paraId="00CC983C">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第六章 数据质量管理：规范了乳制品生产企业温室气体排放数据质量管理工作的相关要求。</w:t>
            </w:r>
          </w:p>
          <w:p w14:paraId="5EFBFD21">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第七章 报告内容和格式：规范了乳制品生产企业温室气体排放核算和报告的内容和格式。</w:t>
            </w:r>
          </w:p>
          <w:p w14:paraId="74C3D9C1">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附录A（规范性）：报告格式模版</w:t>
            </w:r>
          </w:p>
          <w:p w14:paraId="06FAF0A3">
            <w:pPr>
              <w:keepNext w:val="0"/>
              <w:keepLines w:val="0"/>
              <w:pageBreakBefore w:val="0"/>
              <w:kinsoku/>
              <w:wordWrap/>
              <w:overflowPunct/>
              <w:topLinePunct w:val="0"/>
              <w:bidi w:val="0"/>
              <w:adjustRightInd/>
              <w:snapToGrid/>
              <w:spacing w:line="360" w:lineRule="auto"/>
              <w:ind w:firstLine="420" w:firstLineChars="200"/>
              <w:textAlignment w:val="auto"/>
              <w:rPr>
                <w:rFonts w:ascii="宋体" w:hAnsi="宋体"/>
                <w:color w:val="000000"/>
                <w:szCs w:val="21"/>
              </w:rPr>
            </w:pPr>
            <w:r>
              <w:rPr>
                <w:rFonts w:hint="eastAsia" w:ascii="宋体" w:hAnsi="宋体"/>
                <w:color w:val="000000"/>
                <w:szCs w:val="21"/>
              </w:rPr>
              <w:t>附录B（规范性）：相关参数推荐值</w:t>
            </w:r>
          </w:p>
        </w:tc>
      </w:tr>
    </w:tbl>
    <w:p w14:paraId="4BC5E61B">
      <w:pPr>
        <w:rPr>
          <w:rFonts w:eastAsia="仿宋_GB2312"/>
          <w:b/>
          <w:color w:val="000000"/>
          <w:kern w:val="0"/>
          <w:sz w:val="32"/>
        </w:rPr>
      </w:pP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800"/>
        <w:gridCol w:w="6"/>
        <w:gridCol w:w="2354"/>
        <w:gridCol w:w="2814"/>
        <w:gridCol w:w="2651"/>
      </w:tblGrid>
      <w:tr w14:paraId="1E6FF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0" w:hRule="atLeast"/>
        </w:trPr>
        <w:tc>
          <w:tcPr>
            <w:tcW w:w="9625" w:type="dxa"/>
            <w:gridSpan w:val="5"/>
            <w:tcBorders>
              <w:top w:val="nil"/>
              <w:left w:val="nil"/>
              <w:bottom w:val="nil"/>
              <w:right w:val="nil"/>
            </w:tcBorders>
            <w:vAlign w:val="center"/>
          </w:tcPr>
          <w:p w14:paraId="51F9C43C">
            <w:pPr>
              <w:rPr>
                <w:rFonts w:ascii="宋体" w:hAnsi="宋体"/>
                <w:b/>
                <w:color w:val="000000"/>
                <w:szCs w:val="21"/>
              </w:rPr>
            </w:pPr>
            <w:r>
              <w:rPr>
                <w:rFonts w:hint="eastAsia" w:ascii="宋体" w:hAnsi="宋体"/>
                <w:b/>
                <w:color w:val="000000"/>
                <w:szCs w:val="21"/>
              </w:rPr>
              <w:t>5  验证情况（基础类标准除外）</w:t>
            </w:r>
          </w:p>
        </w:tc>
      </w:tr>
      <w:tr w14:paraId="29E88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85" w:hRule="atLeast"/>
        </w:trPr>
        <w:tc>
          <w:tcPr>
            <w:tcW w:w="1800" w:type="dxa"/>
            <w:vMerge w:val="restart"/>
            <w:tcBorders>
              <w:top w:val="single" w:color="auto" w:sz="4" w:space="0"/>
              <w:left w:val="single" w:color="auto" w:sz="4" w:space="0"/>
              <w:right w:val="single" w:color="auto" w:sz="4" w:space="0"/>
            </w:tcBorders>
            <w:vAlign w:val="center"/>
          </w:tcPr>
          <w:p w14:paraId="0CA4B4E0">
            <w:pPr>
              <w:ind w:left="141" w:leftChars="67" w:right="48" w:rightChars="23"/>
              <w:rPr>
                <w:rFonts w:ascii="宋体" w:hAnsi="宋体"/>
                <w:color w:val="000000"/>
                <w:szCs w:val="21"/>
              </w:rPr>
            </w:pPr>
            <w:r>
              <w:rPr>
                <w:rFonts w:ascii="宋体" w:hAnsi="宋体"/>
                <w:color w:val="000000"/>
                <w:szCs w:val="21"/>
              </w:rPr>
              <w:t>5.1 验证单位情况</w:t>
            </w: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3ECCC233">
            <w:pPr>
              <w:ind w:left="141" w:leftChars="67" w:right="48" w:rightChars="23"/>
              <w:jc w:val="center"/>
              <w:rPr>
                <w:rFonts w:ascii="宋体" w:hAnsi="宋体"/>
                <w:color w:val="000000"/>
                <w:szCs w:val="21"/>
              </w:rPr>
            </w:pPr>
            <w:r>
              <w:rPr>
                <w:rFonts w:ascii="宋体" w:hAnsi="宋体"/>
                <w:color w:val="000000"/>
                <w:szCs w:val="21"/>
              </w:rPr>
              <w:t>验证单位</w:t>
            </w:r>
          </w:p>
        </w:tc>
        <w:tc>
          <w:tcPr>
            <w:tcW w:w="2814" w:type="dxa"/>
            <w:tcBorders>
              <w:top w:val="single" w:color="auto" w:sz="4" w:space="0"/>
              <w:left w:val="single" w:color="auto" w:sz="4" w:space="0"/>
              <w:bottom w:val="single" w:color="auto" w:sz="4" w:space="0"/>
              <w:right w:val="single" w:color="auto" w:sz="4" w:space="0"/>
            </w:tcBorders>
            <w:vAlign w:val="center"/>
          </w:tcPr>
          <w:p w14:paraId="79D7A47E">
            <w:pPr>
              <w:jc w:val="center"/>
              <w:rPr>
                <w:rFonts w:ascii="宋体" w:hAnsi="宋体"/>
                <w:color w:val="000000"/>
                <w:szCs w:val="21"/>
              </w:rPr>
            </w:pPr>
            <w:r>
              <w:rPr>
                <w:rFonts w:ascii="宋体" w:hAnsi="宋体"/>
                <w:color w:val="000000"/>
                <w:szCs w:val="21"/>
              </w:rPr>
              <w:t>验证人员</w:t>
            </w:r>
          </w:p>
        </w:tc>
        <w:tc>
          <w:tcPr>
            <w:tcW w:w="2651" w:type="dxa"/>
            <w:tcBorders>
              <w:top w:val="single" w:color="auto" w:sz="4" w:space="0"/>
              <w:left w:val="single" w:color="auto" w:sz="4" w:space="0"/>
              <w:bottom w:val="single" w:color="auto" w:sz="4" w:space="0"/>
              <w:right w:val="single" w:color="auto" w:sz="4" w:space="0"/>
            </w:tcBorders>
            <w:vAlign w:val="center"/>
          </w:tcPr>
          <w:p w14:paraId="20DFF057">
            <w:pPr>
              <w:jc w:val="center"/>
              <w:rPr>
                <w:rFonts w:ascii="宋体" w:hAnsi="宋体"/>
                <w:color w:val="000000"/>
                <w:szCs w:val="21"/>
              </w:rPr>
            </w:pPr>
            <w:r>
              <w:rPr>
                <w:rFonts w:ascii="宋体" w:hAnsi="宋体"/>
                <w:color w:val="000000"/>
                <w:szCs w:val="21"/>
              </w:rPr>
              <w:t>验证时间</w:t>
            </w:r>
          </w:p>
        </w:tc>
      </w:tr>
      <w:tr w14:paraId="76F16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14:paraId="27833CB8">
            <w:pPr>
              <w:ind w:left="141" w:leftChars="67" w:right="48" w:rightChars="23"/>
              <w:jc w:val="center"/>
              <w:rPr>
                <w:rFonts w:ascii="宋体" w:hAnsi="宋体"/>
                <w:color w:val="000000"/>
                <w:szCs w:val="21"/>
              </w:rPr>
            </w:pP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384F8A42">
            <w:pPr>
              <w:ind w:left="141" w:leftChars="67" w:right="48" w:rightChars="23"/>
              <w:jc w:val="center"/>
              <w:rPr>
                <w:rFonts w:ascii="宋体" w:hAnsi="宋体"/>
                <w:color w:val="000000"/>
                <w:szCs w:val="21"/>
              </w:rPr>
            </w:pPr>
          </w:p>
        </w:tc>
        <w:tc>
          <w:tcPr>
            <w:tcW w:w="2814" w:type="dxa"/>
            <w:tcBorders>
              <w:top w:val="single" w:color="auto" w:sz="4" w:space="0"/>
              <w:left w:val="single" w:color="auto" w:sz="4" w:space="0"/>
              <w:bottom w:val="single" w:color="auto" w:sz="4" w:space="0"/>
              <w:right w:val="single" w:color="auto" w:sz="4" w:space="0"/>
            </w:tcBorders>
            <w:vAlign w:val="center"/>
          </w:tcPr>
          <w:p w14:paraId="3D182409">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vAlign w:val="center"/>
          </w:tcPr>
          <w:p w14:paraId="40A9D3A7">
            <w:pPr>
              <w:wordWrap w:val="0"/>
              <w:jc w:val="right"/>
              <w:rPr>
                <w:rFonts w:ascii="宋体" w:hAnsi="宋体"/>
                <w:color w:val="000000"/>
                <w:szCs w:val="21"/>
              </w:rPr>
            </w:pPr>
            <w:r>
              <w:rPr>
                <w:rFonts w:ascii="宋体" w:hAnsi="宋体"/>
                <w:color w:val="000000"/>
                <w:szCs w:val="21"/>
              </w:rPr>
              <w:t xml:space="preserve"> 年    月   日</w:t>
            </w:r>
          </w:p>
        </w:tc>
      </w:tr>
      <w:tr w14:paraId="4D7C7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14:paraId="5C5CECAB">
            <w:pPr>
              <w:ind w:left="141" w:leftChars="67" w:right="48" w:rightChars="23"/>
              <w:jc w:val="center"/>
              <w:rPr>
                <w:rFonts w:ascii="宋体" w:hAnsi="宋体"/>
                <w:color w:val="000000"/>
                <w:szCs w:val="21"/>
              </w:rPr>
            </w:pP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54EB9691">
            <w:pPr>
              <w:ind w:left="141" w:leftChars="67" w:right="48" w:rightChars="23"/>
              <w:jc w:val="center"/>
              <w:rPr>
                <w:rFonts w:ascii="宋体" w:hAnsi="宋体"/>
                <w:color w:val="000000"/>
                <w:szCs w:val="21"/>
              </w:rPr>
            </w:pPr>
          </w:p>
        </w:tc>
        <w:tc>
          <w:tcPr>
            <w:tcW w:w="2814" w:type="dxa"/>
            <w:tcBorders>
              <w:top w:val="single" w:color="auto" w:sz="4" w:space="0"/>
              <w:left w:val="single" w:color="auto" w:sz="4" w:space="0"/>
              <w:bottom w:val="single" w:color="auto" w:sz="4" w:space="0"/>
              <w:right w:val="single" w:color="auto" w:sz="4" w:space="0"/>
            </w:tcBorders>
            <w:vAlign w:val="center"/>
          </w:tcPr>
          <w:p w14:paraId="3BE3DA13">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47412B1A">
            <w:pPr>
              <w:jc w:val="right"/>
              <w:rPr>
                <w:rFonts w:ascii="宋体" w:hAnsi="宋体"/>
                <w:color w:val="000000"/>
                <w:szCs w:val="21"/>
              </w:rPr>
            </w:pPr>
            <w:r>
              <w:rPr>
                <w:rFonts w:ascii="宋体" w:hAnsi="宋体"/>
                <w:color w:val="000000"/>
                <w:szCs w:val="21"/>
              </w:rPr>
              <w:t>年    月   日</w:t>
            </w:r>
          </w:p>
        </w:tc>
      </w:tr>
      <w:tr w14:paraId="4EC65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14:paraId="685ACFE1">
            <w:pPr>
              <w:ind w:left="141" w:leftChars="67" w:right="48" w:rightChars="23"/>
              <w:jc w:val="center"/>
              <w:rPr>
                <w:rFonts w:ascii="宋体" w:hAnsi="宋体"/>
                <w:color w:val="000000"/>
                <w:szCs w:val="21"/>
              </w:rPr>
            </w:pP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26EC60FE">
            <w:pPr>
              <w:ind w:left="141" w:leftChars="67" w:right="48" w:rightChars="23"/>
              <w:jc w:val="center"/>
              <w:rPr>
                <w:rFonts w:ascii="宋体" w:hAnsi="宋体"/>
                <w:color w:val="000000"/>
                <w:szCs w:val="21"/>
              </w:rPr>
            </w:pPr>
          </w:p>
        </w:tc>
        <w:tc>
          <w:tcPr>
            <w:tcW w:w="2814" w:type="dxa"/>
            <w:tcBorders>
              <w:top w:val="single" w:color="auto" w:sz="4" w:space="0"/>
              <w:left w:val="single" w:color="auto" w:sz="4" w:space="0"/>
              <w:bottom w:val="single" w:color="auto" w:sz="4" w:space="0"/>
              <w:right w:val="single" w:color="auto" w:sz="4" w:space="0"/>
            </w:tcBorders>
            <w:vAlign w:val="center"/>
          </w:tcPr>
          <w:p w14:paraId="2CFD239F">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1DFD5D49">
            <w:pPr>
              <w:jc w:val="right"/>
              <w:rPr>
                <w:rFonts w:ascii="宋体" w:hAnsi="宋体"/>
                <w:color w:val="000000"/>
                <w:szCs w:val="21"/>
              </w:rPr>
            </w:pPr>
            <w:r>
              <w:rPr>
                <w:rFonts w:ascii="宋体" w:hAnsi="宋体"/>
                <w:color w:val="000000"/>
                <w:szCs w:val="21"/>
              </w:rPr>
              <w:t>年    月   日</w:t>
            </w:r>
          </w:p>
        </w:tc>
      </w:tr>
      <w:tr w14:paraId="7591C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14:paraId="1C69C5E1">
            <w:pPr>
              <w:ind w:left="141" w:leftChars="67" w:right="48" w:rightChars="23"/>
              <w:jc w:val="center"/>
              <w:rPr>
                <w:rFonts w:ascii="宋体" w:hAnsi="宋体"/>
                <w:color w:val="000000"/>
                <w:szCs w:val="21"/>
              </w:rPr>
            </w:pP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249E2D15">
            <w:pPr>
              <w:ind w:left="141" w:leftChars="67" w:right="48" w:rightChars="23"/>
              <w:jc w:val="center"/>
              <w:rPr>
                <w:rFonts w:ascii="宋体" w:hAnsi="宋体"/>
                <w:color w:val="000000"/>
                <w:szCs w:val="21"/>
              </w:rPr>
            </w:pPr>
          </w:p>
        </w:tc>
        <w:tc>
          <w:tcPr>
            <w:tcW w:w="2814" w:type="dxa"/>
            <w:tcBorders>
              <w:top w:val="single" w:color="auto" w:sz="4" w:space="0"/>
              <w:left w:val="single" w:color="auto" w:sz="4" w:space="0"/>
              <w:bottom w:val="single" w:color="auto" w:sz="4" w:space="0"/>
              <w:right w:val="single" w:color="auto" w:sz="4" w:space="0"/>
            </w:tcBorders>
            <w:vAlign w:val="center"/>
          </w:tcPr>
          <w:p w14:paraId="1FDAFF02">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19E30989">
            <w:pPr>
              <w:jc w:val="right"/>
              <w:rPr>
                <w:rFonts w:ascii="宋体" w:hAnsi="宋体"/>
                <w:color w:val="000000"/>
                <w:szCs w:val="21"/>
              </w:rPr>
            </w:pPr>
            <w:r>
              <w:rPr>
                <w:rFonts w:ascii="宋体" w:hAnsi="宋体"/>
                <w:color w:val="000000"/>
                <w:szCs w:val="21"/>
              </w:rPr>
              <w:t>年    月   日</w:t>
            </w:r>
          </w:p>
        </w:tc>
      </w:tr>
      <w:tr w14:paraId="279C5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204"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4D176D2A">
            <w:pPr>
              <w:ind w:left="141" w:leftChars="67" w:right="48" w:rightChars="23"/>
              <w:rPr>
                <w:rFonts w:ascii="宋体" w:hAnsi="宋体"/>
                <w:color w:val="000000"/>
                <w:szCs w:val="21"/>
              </w:rPr>
            </w:pPr>
            <w:r>
              <w:rPr>
                <w:rFonts w:ascii="宋体" w:hAnsi="宋体"/>
                <w:color w:val="000000"/>
                <w:szCs w:val="21"/>
              </w:rPr>
              <w:t>5.2</w:t>
            </w:r>
            <w:r>
              <w:rPr>
                <w:rFonts w:hint="eastAsia" w:ascii="宋体" w:hAnsi="宋体"/>
                <w:color w:val="000000"/>
                <w:szCs w:val="21"/>
              </w:rPr>
              <w:t>试验、</w:t>
            </w:r>
            <w:r>
              <w:rPr>
                <w:rFonts w:ascii="宋体" w:hAnsi="宋体"/>
                <w:color w:val="000000"/>
                <w:szCs w:val="21"/>
              </w:rPr>
              <w:t xml:space="preserve"> 验证</w:t>
            </w:r>
            <w:r>
              <w:rPr>
                <w:rFonts w:hint="eastAsia" w:ascii="宋体" w:hAnsi="宋体"/>
                <w:color w:val="000000"/>
                <w:szCs w:val="21"/>
              </w:rPr>
              <w:t>、试行</w:t>
            </w:r>
            <w:r>
              <w:rPr>
                <w:rFonts w:ascii="宋体" w:hAnsi="宋体"/>
                <w:color w:val="000000"/>
                <w:szCs w:val="21"/>
              </w:rPr>
              <w:t>过程</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72E6C2EC">
            <w:pPr>
              <w:rPr>
                <w:rFonts w:ascii="宋体" w:hAnsi="宋体"/>
                <w:color w:val="000000"/>
                <w:szCs w:val="21"/>
              </w:rPr>
            </w:pPr>
          </w:p>
        </w:tc>
      </w:tr>
      <w:tr w14:paraId="2BCB4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71"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352859D7">
            <w:pPr>
              <w:ind w:left="141" w:leftChars="67" w:right="48" w:rightChars="23"/>
              <w:rPr>
                <w:rFonts w:ascii="宋体" w:hAnsi="宋体"/>
                <w:color w:val="000000"/>
                <w:szCs w:val="21"/>
              </w:rPr>
            </w:pPr>
            <w:r>
              <w:rPr>
                <w:rFonts w:ascii="宋体" w:hAnsi="宋体"/>
                <w:color w:val="000000"/>
                <w:szCs w:val="21"/>
              </w:rPr>
              <w:t>5.3 验证数据分析</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3CAF279F">
            <w:pPr>
              <w:rPr>
                <w:rFonts w:ascii="宋体" w:hAnsi="宋体"/>
                <w:color w:val="000000"/>
                <w:szCs w:val="21"/>
              </w:rPr>
            </w:pPr>
          </w:p>
        </w:tc>
      </w:tr>
      <w:tr w14:paraId="06CC8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411"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3FF976C0">
            <w:pPr>
              <w:ind w:left="141" w:leftChars="67" w:right="48" w:rightChars="23"/>
              <w:rPr>
                <w:rFonts w:ascii="宋体" w:hAnsi="宋体"/>
                <w:color w:val="000000"/>
                <w:szCs w:val="21"/>
              </w:rPr>
            </w:pPr>
            <w:r>
              <w:rPr>
                <w:rFonts w:ascii="宋体" w:hAnsi="宋体"/>
                <w:color w:val="000000"/>
                <w:szCs w:val="21"/>
              </w:rPr>
              <w:t xml:space="preserve">5.4 </w:t>
            </w:r>
            <w:r>
              <w:rPr>
                <w:rFonts w:hint="eastAsia" w:ascii="宋体" w:hAnsi="宋体"/>
                <w:color w:val="000000"/>
                <w:szCs w:val="21"/>
              </w:rPr>
              <w:t>试验、</w:t>
            </w:r>
            <w:r>
              <w:rPr>
                <w:rFonts w:ascii="宋体" w:hAnsi="宋体"/>
                <w:color w:val="000000"/>
                <w:szCs w:val="21"/>
              </w:rPr>
              <w:t>验证</w:t>
            </w:r>
            <w:r>
              <w:rPr>
                <w:rFonts w:hint="eastAsia" w:ascii="宋体" w:hAnsi="宋体"/>
                <w:color w:val="000000"/>
                <w:szCs w:val="21"/>
              </w:rPr>
              <w:t>、试行</w:t>
            </w:r>
            <w:r>
              <w:rPr>
                <w:rFonts w:ascii="宋体" w:hAnsi="宋体"/>
                <w:color w:val="000000"/>
                <w:szCs w:val="21"/>
              </w:rPr>
              <w:t>评价</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0144A6F6">
            <w:pPr>
              <w:rPr>
                <w:rFonts w:ascii="宋体" w:hAnsi="宋体"/>
                <w:color w:val="000000"/>
                <w:szCs w:val="21"/>
              </w:rPr>
            </w:pPr>
          </w:p>
        </w:tc>
      </w:tr>
      <w:tr w14:paraId="01EF8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097"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1356FD71">
            <w:pPr>
              <w:ind w:left="141" w:leftChars="67" w:right="48" w:rightChars="23"/>
              <w:rPr>
                <w:rFonts w:ascii="宋体" w:hAnsi="宋体"/>
                <w:color w:val="000000"/>
                <w:szCs w:val="21"/>
              </w:rPr>
            </w:pPr>
            <w:r>
              <w:rPr>
                <w:rFonts w:ascii="宋体" w:hAnsi="宋体"/>
                <w:color w:val="000000"/>
                <w:szCs w:val="21"/>
              </w:rPr>
              <w:t>5.5 其他应说明的情况</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5FF8FE67">
            <w:pPr>
              <w:rPr>
                <w:rFonts w:ascii="宋体" w:hAnsi="宋体"/>
                <w:color w:val="000000"/>
                <w:szCs w:val="21"/>
              </w:rPr>
            </w:pPr>
          </w:p>
        </w:tc>
      </w:tr>
    </w:tbl>
    <w:p w14:paraId="2F5E82B6">
      <w:pPr>
        <w:rPr>
          <w:rFonts w:eastAsia="仿宋_GB2312"/>
          <w:b/>
          <w:color w:val="000000"/>
          <w:kern w:val="0"/>
          <w:sz w:val="32"/>
        </w:rPr>
      </w:pPr>
    </w:p>
    <w:p w14:paraId="0BA494E1">
      <w:pPr>
        <w:rPr>
          <w:rFonts w:eastAsia="仿宋_GB2312"/>
          <w:b/>
          <w:color w:val="000000"/>
          <w:kern w:val="0"/>
          <w:sz w:val="32"/>
        </w:rPr>
      </w:pP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6"/>
        <w:gridCol w:w="1288"/>
        <w:gridCol w:w="1080"/>
        <w:gridCol w:w="1620"/>
        <w:gridCol w:w="1440"/>
        <w:gridCol w:w="2397"/>
      </w:tblGrid>
      <w:tr w14:paraId="5E6341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8" w:hRule="atLeast"/>
        </w:trPr>
        <w:tc>
          <w:tcPr>
            <w:tcW w:w="9625" w:type="dxa"/>
            <w:gridSpan w:val="7"/>
            <w:tcBorders>
              <w:top w:val="nil"/>
              <w:left w:val="nil"/>
              <w:bottom w:val="nil"/>
              <w:right w:val="nil"/>
            </w:tcBorders>
            <w:vAlign w:val="center"/>
          </w:tcPr>
          <w:p w14:paraId="5692B499">
            <w:pPr>
              <w:rPr>
                <w:rFonts w:ascii="宋体" w:hAnsi="宋体"/>
                <w:b/>
                <w:color w:val="000000"/>
                <w:szCs w:val="21"/>
              </w:rPr>
            </w:pPr>
            <w:r>
              <w:rPr>
                <w:rFonts w:hint="eastAsia" w:ascii="宋体" w:hAnsi="宋体"/>
                <w:b/>
                <w:color w:val="000000"/>
                <w:szCs w:val="21"/>
              </w:rPr>
              <w:t>6  附加说明（可选项）</w:t>
            </w:r>
          </w:p>
        </w:tc>
      </w:tr>
      <w:tr w14:paraId="1E870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75" w:hRule="atLeast"/>
        </w:trPr>
        <w:tc>
          <w:tcPr>
            <w:tcW w:w="1794" w:type="dxa"/>
            <w:tcBorders>
              <w:top w:val="single" w:color="auto" w:sz="4" w:space="0"/>
              <w:left w:val="single" w:color="auto" w:sz="4" w:space="0"/>
              <w:bottom w:val="single" w:color="auto" w:sz="4" w:space="0"/>
              <w:right w:val="single" w:color="auto" w:sz="4" w:space="0"/>
            </w:tcBorders>
            <w:vAlign w:val="center"/>
          </w:tcPr>
          <w:p w14:paraId="5B2C8E91">
            <w:pPr>
              <w:ind w:left="141" w:leftChars="67" w:right="176" w:rightChars="84"/>
              <w:rPr>
                <w:rFonts w:ascii="宋体" w:hAnsi="宋体"/>
                <w:color w:val="000000"/>
                <w:szCs w:val="21"/>
              </w:rPr>
            </w:pPr>
            <w:r>
              <w:rPr>
                <w:rFonts w:ascii="宋体" w:hAnsi="宋体"/>
                <w:color w:val="000000"/>
                <w:szCs w:val="21"/>
              </w:rPr>
              <w:t>6.1 宣贯标准的建议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2836EB49">
            <w:pPr>
              <w:rPr>
                <w:rFonts w:ascii="宋体" w:hAnsi="宋体"/>
                <w:color w:val="000000"/>
                <w:szCs w:val="21"/>
              </w:rPr>
            </w:pPr>
          </w:p>
        </w:tc>
      </w:tr>
      <w:tr w14:paraId="29781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511" w:hRule="atLeast"/>
        </w:trPr>
        <w:tc>
          <w:tcPr>
            <w:tcW w:w="1794" w:type="dxa"/>
            <w:tcBorders>
              <w:top w:val="single" w:color="auto" w:sz="4" w:space="0"/>
              <w:left w:val="single" w:color="auto" w:sz="4" w:space="0"/>
              <w:bottom w:val="single" w:color="auto" w:sz="4" w:space="0"/>
              <w:right w:val="single" w:color="auto" w:sz="4" w:space="0"/>
            </w:tcBorders>
            <w:vAlign w:val="center"/>
          </w:tcPr>
          <w:p w14:paraId="52EDF7EC">
            <w:pPr>
              <w:ind w:left="141" w:leftChars="67" w:right="176" w:rightChars="84"/>
              <w:rPr>
                <w:rFonts w:ascii="宋体" w:hAnsi="宋体"/>
                <w:color w:val="000000"/>
                <w:szCs w:val="21"/>
              </w:rPr>
            </w:pPr>
            <w:r>
              <w:rPr>
                <w:rFonts w:ascii="宋体" w:hAnsi="宋体"/>
                <w:color w:val="000000"/>
                <w:szCs w:val="21"/>
              </w:rPr>
              <w:t>6.2 修订和废除现行有关标准的建议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16A1B3F7">
            <w:pPr>
              <w:rPr>
                <w:rFonts w:ascii="宋体" w:hAnsi="宋体"/>
                <w:color w:val="000000"/>
                <w:szCs w:val="21"/>
              </w:rPr>
            </w:pPr>
          </w:p>
        </w:tc>
      </w:tr>
      <w:tr w14:paraId="0A8F6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92" w:hRule="atLeast"/>
        </w:trPr>
        <w:tc>
          <w:tcPr>
            <w:tcW w:w="1794" w:type="dxa"/>
            <w:tcBorders>
              <w:top w:val="single" w:color="auto" w:sz="4" w:space="0"/>
              <w:left w:val="single" w:color="auto" w:sz="4" w:space="0"/>
              <w:bottom w:val="single" w:color="auto" w:sz="4" w:space="0"/>
              <w:right w:val="single" w:color="auto" w:sz="4" w:space="0"/>
            </w:tcBorders>
            <w:vAlign w:val="center"/>
          </w:tcPr>
          <w:p w14:paraId="296BA5CC">
            <w:pPr>
              <w:ind w:left="141" w:leftChars="67" w:right="176" w:rightChars="84"/>
              <w:rPr>
                <w:rFonts w:ascii="宋体" w:hAnsi="宋体"/>
                <w:color w:val="000000"/>
                <w:szCs w:val="21"/>
              </w:rPr>
            </w:pPr>
            <w:r>
              <w:rPr>
                <w:rFonts w:ascii="宋体" w:hAnsi="宋体"/>
                <w:color w:val="000000"/>
                <w:szCs w:val="21"/>
              </w:rPr>
              <w:t>6.</w:t>
            </w:r>
            <w:r>
              <w:rPr>
                <w:rFonts w:hint="eastAsia" w:ascii="宋体" w:hAnsi="宋体"/>
                <w:color w:val="000000"/>
                <w:szCs w:val="21"/>
              </w:rPr>
              <w:t>3重大分歧意见的处理经过和依据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32DD4234">
            <w:pPr>
              <w:rPr>
                <w:rFonts w:ascii="宋体" w:hAnsi="宋体"/>
                <w:color w:val="000000"/>
                <w:szCs w:val="21"/>
              </w:rPr>
            </w:pPr>
          </w:p>
        </w:tc>
      </w:tr>
      <w:tr w14:paraId="25050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38" w:hRule="atLeast"/>
        </w:trPr>
        <w:tc>
          <w:tcPr>
            <w:tcW w:w="1794" w:type="dxa"/>
            <w:tcBorders>
              <w:top w:val="single" w:color="auto" w:sz="4" w:space="0"/>
              <w:left w:val="single" w:color="auto" w:sz="4" w:space="0"/>
              <w:bottom w:val="single" w:color="auto" w:sz="4" w:space="0"/>
              <w:right w:val="single" w:color="auto" w:sz="4" w:space="0"/>
            </w:tcBorders>
            <w:vAlign w:val="center"/>
          </w:tcPr>
          <w:p w14:paraId="0F964FFC">
            <w:pPr>
              <w:ind w:left="141" w:leftChars="67" w:right="176" w:rightChars="84"/>
              <w:rPr>
                <w:rFonts w:ascii="宋体" w:hAnsi="宋体"/>
                <w:color w:val="000000"/>
                <w:szCs w:val="21"/>
              </w:rPr>
            </w:pPr>
            <w:r>
              <w:rPr>
                <w:rFonts w:ascii="宋体" w:hAnsi="宋体"/>
                <w:color w:val="000000"/>
                <w:szCs w:val="21"/>
              </w:rPr>
              <w:t>6.4 其他需要说明的情况</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77C4C63A">
            <w:pPr>
              <w:rPr>
                <w:rFonts w:ascii="宋体" w:hAnsi="宋体"/>
                <w:color w:val="000000"/>
                <w:szCs w:val="21"/>
              </w:rPr>
            </w:pPr>
          </w:p>
        </w:tc>
      </w:tr>
      <w:tr w14:paraId="2E789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398" w:hRule="atLeast"/>
        </w:trPr>
        <w:tc>
          <w:tcPr>
            <w:tcW w:w="1794" w:type="dxa"/>
            <w:tcBorders>
              <w:top w:val="single" w:color="auto" w:sz="4" w:space="0"/>
              <w:left w:val="single" w:color="auto" w:sz="4" w:space="0"/>
              <w:bottom w:val="single" w:color="auto" w:sz="4" w:space="0"/>
              <w:right w:val="single" w:color="auto" w:sz="4" w:space="0"/>
            </w:tcBorders>
            <w:vAlign w:val="center"/>
          </w:tcPr>
          <w:p w14:paraId="2AC5192A">
            <w:pPr>
              <w:ind w:left="141" w:leftChars="67" w:right="176" w:rightChars="84"/>
              <w:rPr>
                <w:rFonts w:ascii="宋体" w:hAnsi="宋体"/>
                <w:color w:val="000000"/>
                <w:szCs w:val="21"/>
              </w:rPr>
            </w:pPr>
            <w:r>
              <w:rPr>
                <w:rFonts w:ascii="宋体" w:hAnsi="宋体"/>
                <w:color w:val="000000"/>
                <w:szCs w:val="21"/>
              </w:rPr>
              <w:t>6.5 参考文献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3E95EA6D">
            <w:pPr>
              <w:rPr>
                <w:rFonts w:ascii="宋体" w:hAnsi="宋体"/>
                <w:color w:val="000000"/>
                <w:szCs w:val="21"/>
              </w:rPr>
            </w:pPr>
          </w:p>
        </w:tc>
      </w:tr>
      <w:tr w14:paraId="046DF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1800" w:type="dxa"/>
            <w:gridSpan w:val="2"/>
            <w:tcBorders>
              <w:top w:val="single" w:color="auto" w:sz="4" w:space="0"/>
              <w:left w:val="single" w:color="auto" w:sz="4" w:space="0"/>
              <w:bottom w:val="single" w:color="auto" w:sz="4" w:space="0"/>
              <w:right w:val="single" w:color="auto" w:sz="4" w:space="0"/>
            </w:tcBorders>
            <w:vAlign w:val="center"/>
          </w:tcPr>
          <w:p w14:paraId="6863E0C1">
            <w:pPr>
              <w:jc w:val="center"/>
              <w:rPr>
                <w:rFonts w:ascii="宋体" w:hAnsi="宋体"/>
                <w:color w:val="000000"/>
                <w:szCs w:val="21"/>
              </w:rPr>
            </w:pPr>
            <w:r>
              <w:rPr>
                <w:rFonts w:ascii="宋体" w:hAnsi="宋体"/>
                <w:color w:val="000000"/>
                <w:szCs w:val="21"/>
              </w:rPr>
              <w:t>联系人</w:t>
            </w:r>
          </w:p>
        </w:tc>
        <w:tc>
          <w:tcPr>
            <w:tcW w:w="1288" w:type="dxa"/>
            <w:tcBorders>
              <w:top w:val="single" w:color="auto" w:sz="4" w:space="0"/>
              <w:left w:val="single" w:color="auto" w:sz="4" w:space="0"/>
              <w:bottom w:val="single" w:color="auto" w:sz="4" w:space="0"/>
              <w:right w:val="single" w:color="auto" w:sz="4" w:space="0"/>
            </w:tcBorders>
            <w:vAlign w:val="center"/>
          </w:tcPr>
          <w:p w14:paraId="6F01D8BC">
            <w:pPr>
              <w:jc w:val="center"/>
              <w:rPr>
                <w:rFonts w:hint="eastAsia" w:ascii="宋体" w:hAnsi="宋体" w:eastAsia="宋体"/>
                <w:color w:val="000000"/>
                <w:szCs w:val="21"/>
                <w:lang w:val="en-US" w:eastAsia="zh-CN"/>
              </w:rPr>
            </w:pPr>
            <w:r>
              <w:rPr>
                <w:rFonts w:hint="eastAsia" w:ascii="宋体" w:hAnsi="宋体"/>
                <w:color w:val="000000"/>
                <w:szCs w:val="21"/>
                <w:lang w:val="en-US" w:eastAsia="zh-CN"/>
              </w:rPr>
              <w:t>葛红</w:t>
            </w:r>
          </w:p>
        </w:tc>
        <w:tc>
          <w:tcPr>
            <w:tcW w:w="1080" w:type="dxa"/>
            <w:tcBorders>
              <w:top w:val="single" w:color="auto" w:sz="4" w:space="0"/>
              <w:left w:val="single" w:color="auto" w:sz="4" w:space="0"/>
              <w:bottom w:val="single" w:color="auto" w:sz="4" w:space="0"/>
              <w:right w:val="single" w:color="auto" w:sz="4" w:space="0"/>
            </w:tcBorders>
            <w:vAlign w:val="center"/>
          </w:tcPr>
          <w:p w14:paraId="271B4F59">
            <w:pPr>
              <w:jc w:val="center"/>
              <w:rPr>
                <w:rFonts w:ascii="宋体" w:hAnsi="宋体"/>
                <w:color w:val="000000"/>
                <w:szCs w:val="21"/>
              </w:rPr>
            </w:pPr>
            <w:r>
              <w:rPr>
                <w:rFonts w:ascii="宋体" w:hAnsi="宋体"/>
                <w:color w:val="000000"/>
                <w:szCs w:val="21"/>
              </w:rPr>
              <w:t>联系电话</w:t>
            </w:r>
          </w:p>
        </w:tc>
        <w:tc>
          <w:tcPr>
            <w:tcW w:w="1620" w:type="dxa"/>
            <w:tcBorders>
              <w:top w:val="single" w:color="auto" w:sz="4" w:space="0"/>
              <w:left w:val="single" w:color="auto" w:sz="4" w:space="0"/>
              <w:bottom w:val="single" w:color="auto" w:sz="4" w:space="0"/>
              <w:right w:val="single" w:color="auto" w:sz="4" w:space="0"/>
            </w:tcBorders>
            <w:vAlign w:val="center"/>
          </w:tcPr>
          <w:p w14:paraId="6449AB71">
            <w:pPr>
              <w:jc w:val="center"/>
              <w:rPr>
                <w:rFonts w:hint="default" w:ascii="宋体" w:hAnsi="宋体" w:eastAsia="宋体"/>
                <w:color w:val="000000"/>
                <w:szCs w:val="21"/>
                <w:lang w:val="en-US" w:eastAsia="zh-CN"/>
              </w:rPr>
            </w:pPr>
            <w:r>
              <w:rPr>
                <w:rFonts w:hint="eastAsia" w:ascii="宋体" w:hAnsi="宋体"/>
                <w:color w:val="000000"/>
                <w:szCs w:val="21"/>
                <w:lang w:val="en-US" w:eastAsia="zh-CN"/>
              </w:rPr>
              <w:t>18822050957</w:t>
            </w:r>
          </w:p>
        </w:tc>
        <w:tc>
          <w:tcPr>
            <w:tcW w:w="1440" w:type="dxa"/>
            <w:tcBorders>
              <w:top w:val="single" w:color="auto" w:sz="4" w:space="0"/>
              <w:left w:val="single" w:color="auto" w:sz="4" w:space="0"/>
              <w:bottom w:val="single" w:color="auto" w:sz="4" w:space="0"/>
              <w:right w:val="single" w:color="auto" w:sz="4" w:space="0"/>
            </w:tcBorders>
            <w:vAlign w:val="center"/>
          </w:tcPr>
          <w:p w14:paraId="4BA5660B">
            <w:pPr>
              <w:jc w:val="center"/>
              <w:rPr>
                <w:rFonts w:ascii="宋体" w:hAnsi="宋体"/>
                <w:color w:val="000000"/>
                <w:szCs w:val="21"/>
              </w:rPr>
            </w:pPr>
            <w:r>
              <w:rPr>
                <w:rFonts w:ascii="宋体" w:hAnsi="宋体"/>
                <w:color w:val="000000"/>
                <w:szCs w:val="21"/>
              </w:rPr>
              <w:t>电子邮箱</w:t>
            </w:r>
          </w:p>
        </w:tc>
        <w:tc>
          <w:tcPr>
            <w:tcW w:w="2397" w:type="dxa"/>
            <w:tcBorders>
              <w:top w:val="single" w:color="auto" w:sz="4" w:space="0"/>
              <w:left w:val="single" w:color="auto" w:sz="4" w:space="0"/>
              <w:bottom w:val="single" w:color="auto" w:sz="4" w:space="0"/>
              <w:right w:val="single" w:color="auto" w:sz="4" w:space="0"/>
            </w:tcBorders>
            <w:vAlign w:val="center"/>
          </w:tcPr>
          <w:p w14:paraId="7B019D9A">
            <w:pPr>
              <w:jc w:val="center"/>
              <w:rPr>
                <w:rFonts w:ascii="宋体" w:hAnsi="宋体"/>
                <w:color w:val="000000"/>
                <w:szCs w:val="21"/>
              </w:rPr>
            </w:pPr>
            <w:r>
              <w:rPr>
                <w:rFonts w:hint="eastAsia" w:ascii="宋体" w:hAnsi="宋体"/>
                <w:color w:val="000000"/>
                <w:szCs w:val="21"/>
                <w:lang w:val="en-US" w:eastAsia="zh-CN"/>
              </w:rPr>
              <w:t>gehong</w:t>
            </w:r>
            <w:r>
              <w:rPr>
                <w:rFonts w:hint="eastAsia" w:ascii="宋体" w:hAnsi="宋体"/>
                <w:color w:val="000000"/>
                <w:szCs w:val="21"/>
              </w:rPr>
              <w:t>@mengniu.cn</w:t>
            </w:r>
          </w:p>
        </w:tc>
      </w:tr>
      <w:tr w14:paraId="7BF93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9625" w:type="dxa"/>
            <w:gridSpan w:val="7"/>
            <w:tcBorders>
              <w:top w:val="single" w:color="auto" w:sz="4" w:space="0"/>
              <w:left w:val="single" w:color="auto" w:sz="4" w:space="0"/>
              <w:bottom w:val="single" w:color="auto" w:sz="4" w:space="0"/>
              <w:right w:val="single" w:color="auto" w:sz="4" w:space="0"/>
            </w:tcBorders>
            <w:vAlign w:val="center"/>
          </w:tcPr>
          <w:p w14:paraId="06195171">
            <w:pPr>
              <w:adjustRightInd w:val="0"/>
              <w:spacing w:before="60" w:line="360" w:lineRule="auto"/>
              <w:ind w:firstLine="441" w:firstLineChars="210"/>
              <w:rPr>
                <w:rFonts w:ascii="宋体" w:hAnsi="宋体"/>
                <w:color w:val="000000"/>
                <w:szCs w:val="21"/>
              </w:rPr>
            </w:pPr>
            <w:r>
              <w:rPr>
                <w:rFonts w:ascii="宋体" w:hAnsi="宋体"/>
                <w:color w:val="000000"/>
                <w:szCs w:val="21"/>
              </w:rPr>
              <w:t>注1：本</w:t>
            </w:r>
            <w:r>
              <w:rPr>
                <w:rFonts w:hint="eastAsia" w:ascii="宋体" w:hAnsi="宋体"/>
                <w:color w:val="000000"/>
                <w:szCs w:val="21"/>
              </w:rPr>
              <w:t>格式</w:t>
            </w:r>
            <w:r>
              <w:rPr>
                <w:rFonts w:ascii="宋体" w:hAnsi="宋体"/>
                <w:color w:val="000000"/>
                <w:szCs w:val="21"/>
              </w:rPr>
              <w:t>的</w:t>
            </w:r>
            <w:r>
              <w:rPr>
                <w:rFonts w:hint="eastAsia" w:ascii="宋体" w:hAnsi="宋体"/>
                <w:color w:val="000000"/>
                <w:szCs w:val="21"/>
              </w:rPr>
              <w:t>通用</w:t>
            </w:r>
            <w:r>
              <w:rPr>
                <w:rFonts w:ascii="宋体" w:hAnsi="宋体"/>
                <w:color w:val="000000"/>
                <w:szCs w:val="21"/>
              </w:rPr>
              <w:t>部分为第1章、第2章、第4章和第6章。</w:t>
            </w:r>
          </w:p>
          <w:p w14:paraId="1AF5AB39">
            <w:pPr>
              <w:adjustRightInd w:val="0"/>
              <w:spacing w:before="60" w:line="360" w:lineRule="auto"/>
              <w:ind w:firstLine="441" w:firstLineChars="210"/>
              <w:rPr>
                <w:rFonts w:ascii="宋体" w:hAnsi="宋体"/>
                <w:color w:val="000000"/>
                <w:szCs w:val="21"/>
              </w:rPr>
            </w:pPr>
            <w:r>
              <w:rPr>
                <w:rFonts w:ascii="宋体" w:hAnsi="宋体"/>
                <w:color w:val="000000"/>
                <w:szCs w:val="21"/>
              </w:rPr>
              <w:t>注2：3.4适用于标准草案送审稿，3.5适用于标准草案报批稿，3.6中</w:t>
            </w:r>
            <w:r>
              <w:rPr>
                <w:rFonts w:hint="eastAsia" w:ascii="宋体" w:hAnsi="宋体"/>
                <w:color w:val="000000"/>
                <w:szCs w:val="21"/>
              </w:rPr>
              <w:t>“</w:t>
            </w:r>
            <w:r>
              <w:rPr>
                <w:rFonts w:ascii="宋体" w:hAnsi="宋体"/>
                <w:color w:val="000000"/>
                <w:szCs w:val="21"/>
              </w:rPr>
              <w:t>预期的管理目标</w:t>
            </w:r>
            <w:r>
              <w:rPr>
                <w:rFonts w:hint="eastAsia" w:ascii="宋体" w:hAnsi="宋体"/>
                <w:color w:val="000000"/>
                <w:szCs w:val="21"/>
              </w:rPr>
              <w:t>”</w:t>
            </w:r>
            <w:r>
              <w:rPr>
                <w:rFonts w:ascii="宋体" w:hAnsi="宋体"/>
                <w:color w:val="000000"/>
                <w:szCs w:val="21"/>
              </w:rPr>
              <w:t>适用于规程类标准，3.6中</w:t>
            </w:r>
            <w:r>
              <w:rPr>
                <w:rFonts w:hint="eastAsia" w:ascii="宋体" w:hAnsi="宋体"/>
                <w:color w:val="000000"/>
                <w:szCs w:val="21"/>
              </w:rPr>
              <w:t>“</w:t>
            </w:r>
            <w:r>
              <w:rPr>
                <w:rFonts w:ascii="宋体" w:hAnsi="宋体"/>
                <w:color w:val="000000"/>
                <w:szCs w:val="21"/>
              </w:rPr>
              <w:t>技术指标</w:t>
            </w:r>
            <w:r>
              <w:rPr>
                <w:rFonts w:hint="eastAsia" w:ascii="宋体" w:hAnsi="宋体"/>
                <w:color w:val="000000"/>
                <w:szCs w:val="21"/>
              </w:rPr>
              <w:t>”</w:t>
            </w:r>
            <w:r>
              <w:rPr>
                <w:rFonts w:ascii="宋体" w:hAnsi="宋体"/>
                <w:color w:val="000000"/>
                <w:szCs w:val="21"/>
              </w:rPr>
              <w:t>适用于方法类标准，第5章适用于方法类标准编制说明的编写。</w:t>
            </w:r>
          </w:p>
          <w:p w14:paraId="37389AD1">
            <w:pPr>
              <w:adjustRightInd w:val="0"/>
              <w:spacing w:before="60" w:line="360" w:lineRule="auto"/>
              <w:ind w:firstLine="441" w:firstLineChars="210"/>
              <w:rPr>
                <w:rFonts w:ascii="宋体" w:hAnsi="宋体"/>
                <w:color w:val="000000"/>
                <w:szCs w:val="21"/>
              </w:rPr>
            </w:pPr>
            <w:r>
              <w:rPr>
                <w:rFonts w:ascii="宋体" w:hAnsi="宋体"/>
                <w:color w:val="000000"/>
                <w:szCs w:val="21"/>
              </w:rPr>
              <w:t>注3：3.1和第6章为可选项，其余为必填项。</w:t>
            </w:r>
          </w:p>
        </w:tc>
      </w:tr>
      <w:tr w14:paraId="4F2B9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9625" w:type="dxa"/>
            <w:gridSpan w:val="7"/>
            <w:tcBorders>
              <w:top w:val="single" w:color="auto" w:sz="4" w:space="0"/>
              <w:left w:val="nil"/>
              <w:bottom w:val="nil"/>
              <w:right w:val="nil"/>
            </w:tcBorders>
            <w:vAlign w:val="center"/>
          </w:tcPr>
          <w:p w14:paraId="1E4CA44F">
            <w:pPr>
              <w:wordWrap w:val="0"/>
              <w:ind w:right="480"/>
              <w:jc w:val="right"/>
              <w:rPr>
                <w:rFonts w:ascii="宋体" w:hAnsi="宋体"/>
                <w:color w:val="000000"/>
                <w:szCs w:val="21"/>
              </w:rPr>
            </w:pPr>
            <w:r>
              <w:rPr>
                <w:rFonts w:ascii="宋体" w:hAnsi="宋体"/>
                <w:color w:val="000000"/>
                <w:szCs w:val="21"/>
              </w:rPr>
              <w:t>编写日期：202</w:t>
            </w:r>
            <w:r>
              <w:rPr>
                <w:rFonts w:hint="eastAsia" w:ascii="宋体" w:hAnsi="宋体"/>
                <w:color w:val="000000"/>
                <w:szCs w:val="21"/>
                <w:lang w:val="en-US" w:eastAsia="zh-CN"/>
              </w:rPr>
              <w:t>4</w:t>
            </w:r>
            <w:r>
              <w:rPr>
                <w:rFonts w:ascii="宋体" w:hAnsi="宋体"/>
                <w:color w:val="000000"/>
                <w:szCs w:val="21"/>
              </w:rPr>
              <w:t>年</w:t>
            </w:r>
            <w:r>
              <w:rPr>
                <w:rFonts w:hint="eastAsia" w:ascii="宋体" w:hAnsi="宋体"/>
                <w:color w:val="000000"/>
                <w:szCs w:val="21"/>
                <w:lang w:val="en-US" w:eastAsia="zh-CN"/>
              </w:rPr>
              <w:t>6</w:t>
            </w:r>
            <w:r>
              <w:rPr>
                <w:rFonts w:ascii="宋体" w:hAnsi="宋体"/>
                <w:color w:val="000000"/>
                <w:szCs w:val="21"/>
              </w:rPr>
              <w:t>月</w:t>
            </w:r>
            <w:r>
              <w:rPr>
                <w:rFonts w:ascii="宋体" w:hAnsi="宋体"/>
                <w:color w:val="000000"/>
                <w:szCs w:val="21"/>
                <w:highlight w:val="none"/>
              </w:rPr>
              <w:t>2</w:t>
            </w:r>
            <w:r>
              <w:rPr>
                <w:rFonts w:hint="eastAsia" w:ascii="宋体" w:hAnsi="宋体"/>
                <w:color w:val="000000"/>
                <w:szCs w:val="21"/>
                <w:highlight w:val="none"/>
                <w:lang w:val="en-US" w:eastAsia="zh-CN"/>
              </w:rPr>
              <w:t>0</w:t>
            </w:r>
            <w:r>
              <w:rPr>
                <w:rFonts w:ascii="宋体" w:hAnsi="宋体"/>
                <w:color w:val="000000"/>
                <w:szCs w:val="21"/>
              </w:rPr>
              <w:t>日</w:t>
            </w:r>
          </w:p>
        </w:tc>
      </w:tr>
    </w:tbl>
    <w:p w14:paraId="5F922094">
      <w:pPr>
        <w:rPr>
          <w:rFonts w:eastAsia="方正仿宋简体"/>
          <w:b/>
          <w:snapToGrid w:val="0"/>
          <w:color w:val="000000"/>
          <w:kern w:val="0"/>
          <w:sz w:val="32"/>
          <w:szCs w:val="32"/>
        </w:rPr>
      </w:pPr>
    </w:p>
    <w:sectPr>
      <w:headerReference r:id="rId3" w:type="default"/>
      <w:footerReference r:id="rId4" w:type="default"/>
      <w:footerReference r:id="rId5" w:type="even"/>
      <w:pgSz w:w="11907" w:h="16840"/>
      <w:pgMar w:top="1758" w:right="1418" w:bottom="1758" w:left="1418" w:header="851" w:footer="1134" w:gutter="0"/>
      <w:pgNumType w:start="1"/>
      <w:cols w:space="720" w:num="1"/>
      <w:titlePg/>
      <w:docGrid w:linePitch="291" w:charSpace="-37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方正仿宋简体">
    <w:altName w:val="Arial Unicode MS"/>
    <w:panose1 w:val="02010601030101010101"/>
    <w:charset w:val="86"/>
    <w:family w:val="auto"/>
    <w:pitch w:val="default"/>
    <w:sig w:usb0="00000000" w:usb1="00000000" w:usb2="00000010" w:usb3="00000000" w:csb0="00040000" w:csb1="00000000"/>
  </w:font>
  <w:font w:name="方正小标宋简体">
    <w:panose1 w:val="03000509000000000000"/>
    <w:charset w:val="86"/>
    <w:family w:val="auto"/>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39B0A">
    <w:pPr>
      <w:pStyle w:val="29"/>
      <w:jc w:val="center"/>
      <w:rPr>
        <w:sz w:val="24"/>
        <w:szCs w:val="24"/>
      </w:rPr>
    </w:pPr>
    <w:r>
      <w:rPr>
        <w:rFonts w:hint="eastAsia"/>
        <w:sz w:val="24"/>
        <w:szCs w:val="24"/>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2</w:t>
    </w:r>
    <w:r>
      <w:rPr>
        <w:sz w:val="24"/>
        <w:szCs w:val="24"/>
      </w:rPr>
      <w:fldChar w:fldCharType="end"/>
    </w:r>
    <w:r>
      <w:rPr>
        <w:rFonts w:hint="eastAsia"/>
        <w:sz w:val="24"/>
        <w:szCs w:val="24"/>
      </w:rPr>
      <w:t>-</w:t>
    </w:r>
  </w:p>
  <w:p w14:paraId="24FAED0A">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88865">
    <w:pPr>
      <w:pStyle w:val="29"/>
      <w:framePr w:wrap="around" w:vAnchor="text" w:hAnchor="margin" w:xAlign="center" w:y="1"/>
      <w:rPr>
        <w:rStyle w:val="41"/>
      </w:rPr>
    </w:pPr>
    <w:r>
      <w:fldChar w:fldCharType="begin"/>
    </w:r>
    <w:r>
      <w:rPr>
        <w:rStyle w:val="41"/>
      </w:rPr>
      <w:instrText xml:space="preserve">PAGE  </w:instrText>
    </w:r>
    <w:r>
      <w:fldChar w:fldCharType="end"/>
    </w:r>
  </w:p>
  <w:p w14:paraId="58B71765">
    <w:pPr>
      <w:pStyle w:val="79"/>
      <w:ind w:right="360"/>
      <w:rPr>
        <w:rStyle w:val="4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2DF4A">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66"/>
      <w:suff w:val="nothing"/>
      <w:lvlText w:val="%1%2.%3.%4　"/>
      <w:lvlJc w:val="left"/>
      <w:pPr>
        <w:ind w:left="0" w:firstLine="0"/>
      </w:pPr>
      <w:rPr>
        <w:rFonts w:hint="eastAsia" w:ascii="黑体" w:hAnsi="Times New Roman" w:eastAsia="黑体"/>
        <w:b w:val="0"/>
        <w:i w:val="0"/>
        <w:sz w:val="21"/>
      </w:rPr>
    </w:lvl>
    <w:lvl w:ilvl="4" w:tentative="0">
      <w:start w:val="1"/>
      <w:numFmt w:val="decimal"/>
      <w:pStyle w:val="107"/>
      <w:suff w:val="nothing"/>
      <w:lvlText w:val="%1%2.%3.%4.%5　"/>
      <w:lvlJc w:val="left"/>
      <w:pPr>
        <w:ind w:left="0" w:firstLine="0"/>
      </w:pPr>
      <w:rPr>
        <w:rFonts w:hint="eastAsia" w:ascii="黑体" w:hAnsi="Times New Roman" w:eastAsia="黑体"/>
        <w:b w:val="0"/>
        <w:i w:val="0"/>
        <w:sz w:val="21"/>
      </w:rPr>
    </w:lvl>
    <w:lvl w:ilvl="5" w:tentative="0">
      <w:start w:val="1"/>
      <w:numFmt w:val="decimal"/>
      <w:pStyle w:val="110"/>
      <w:suff w:val="nothing"/>
      <w:lvlText w:val="%1%2.%3.%4.%5.%6　"/>
      <w:lvlJc w:val="left"/>
      <w:pPr>
        <w:ind w:left="0" w:firstLine="0"/>
      </w:pPr>
      <w:rPr>
        <w:rFonts w:hint="eastAsia" w:ascii="黑体" w:hAnsi="Times New Roman" w:eastAsia="黑体"/>
        <w:b w:val="0"/>
        <w:i w:val="0"/>
        <w:sz w:val="21"/>
      </w:rPr>
    </w:lvl>
    <w:lvl w:ilvl="6" w:tentative="0">
      <w:start w:val="1"/>
      <w:numFmt w:val="decimal"/>
      <w:pStyle w:val="11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AE367E9"/>
    <w:multiLevelType w:val="multilevel"/>
    <w:tmpl w:val="0AE367E9"/>
    <w:lvl w:ilvl="0" w:tentative="0">
      <w:start w:val="1"/>
      <w:numFmt w:val="none"/>
      <w:pStyle w:val="65"/>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99B7BF1"/>
    <w:multiLevelType w:val="singleLevel"/>
    <w:tmpl w:val="199B7BF1"/>
    <w:lvl w:ilvl="0" w:tentative="0">
      <w:start w:val="2"/>
      <w:numFmt w:val="chineseCounting"/>
      <w:suff w:val="nothing"/>
      <w:lvlText w:val="%1、"/>
      <w:lvlJc w:val="left"/>
      <w:rPr>
        <w:rFonts w:hint="eastAsia"/>
      </w:rPr>
    </w:lvl>
  </w:abstractNum>
  <w:abstractNum w:abstractNumId="3">
    <w:nsid w:val="407E65F9"/>
    <w:multiLevelType w:val="multilevel"/>
    <w:tmpl w:val="407E65F9"/>
    <w:lvl w:ilvl="0" w:tentative="0">
      <w:start w:val="1"/>
      <w:numFmt w:val="none"/>
      <w:pStyle w:val="104"/>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496E4D7B"/>
    <w:multiLevelType w:val="multilevel"/>
    <w:tmpl w:val="496E4D7B"/>
    <w:lvl w:ilvl="0" w:tentative="0">
      <w:start w:val="1"/>
      <w:numFmt w:val="none"/>
      <w:pStyle w:val="12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57C2AF5"/>
    <w:multiLevelType w:val="multilevel"/>
    <w:tmpl w:val="557C2AF5"/>
    <w:lvl w:ilvl="0" w:tentative="0">
      <w:start w:val="1"/>
      <w:numFmt w:val="decimal"/>
      <w:pStyle w:val="119"/>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646260FA"/>
    <w:multiLevelType w:val="multilevel"/>
    <w:tmpl w:val="646260FA"/>
    <w:lvl w:ilvl="0" w:tentative="0">
      <w:start w:val="1"/>
      <w:numFmt w:val="decimal"/>
      <w:pStyle w:val="118"/>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657D3FBC"/>
    <w:multiLevelType w:val="multilevel"/>
    <w:tmpl w:val="657D3FBC"/>
    <w:lvl w:ilvl="0" w:tentative="0">
      <w:start w:val="1"/>
      <w:numFmt w:val="upperLetter"/>
      <w:pStyle w:val="100"/>
      <w:suff w:val="nothing"/>
      <w:lvlText w:val="附　录　%1"/>
      <w:lvlJc w:val="left"/>
      <w:pPr>
        <w:ind w:left="0" w:firstLine="0"/>
      </w:pPr>
      <w:rPr>
        <w:rFonts w:hint="eastAsia" w:ascii="黑体" w:hAnsi="Times New Roman" w:eastAsia="黑体"/>
        <w:b w:val="0"/>
        <w:i w:val="0"/>
        <w:sz w:val="21"/>
      </w:rPr>
    </w:lvl>
    <w:lvl w:ilvl="1" w:tentative="0">
      <w:start w:val="1"/>
      <w:numFmt w:val="decimal"/>
      <w:pStyle w:val="75"/>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74"/>
      <w:suff w:val="nothing"/>
      <w:lvlText w:val="%1.%2.%3　"/>
      <w:lvlJc w:val="left"/>
      <w:pPr>
        <w:ind w:left="0" w:firstLine="0"/>
      </w:pPr>
      <w:rPr>
        <w:rFonts w:hint="eastAsia" w:ascii="黑体" w:hAnsi="Times New Roman" w:eastAsia="黑体"/>
        <w:b w:val="0"/>
        <w:i w:val="0"/>
        <w:sz w:val="21"/>
      </w:rPr>
    </w:lvl>
    <w:lvl w:ilvl="3" w:tentative="0">
      <w:start w:val="1"/>
      <w:numFmt w:val="decimal"/>
      <w:pStyle w:val="73"/>
      <w:suff w:val="nothing"/>
      <w:lvlText w:val="%1.%2.%3.%4　"/>
      <w:lvlJc w:val="left"/>
      <w:pPr>
        <w:ind w:left="0" w:firstLine="0"/>
      </w:pPr>
      <w:rPr>
        <w:rFonts w:hint="eastAsia" w:ascii="黑体" w:hAnsi="Times New Roman" w:eastAsia="黑体"/>
        <w:b w:val="0"/>
        <w:i w:val="0"/>
        <w:sz w:val="21"/>
      </w:rPr>
    </w:lvl>
    <w:lvl w:ilvl="4" w:tentative="0">
      <w:start w:val="1"/>
      <w:numFmt w:val="decimal"/>
      <w:pStyle w:val="72"/>
      <w:suff w:val="nothing"/>
      <w:lvlText w:val="%1.%2.%3.%4.%5　"/>
      <w:lvlJc w:val="left"/>
      <w:pPr>
        <w:ind w:left="0" w:firstLine="0"/>
      </w:pPr>
      <w:rPr>
        <w:rFonts w:hint="eastAsia" w:ascii="黑体" w:hAnsi="Times New Roman" w:eastAsia="黑体"/>
        <w:b w:val="0"/>
        <w:i w:val="0"/>
        <w:sz w:val="21"/>
      </w:rPr>
    </w:lvl>
    <w:lvl w:ilvl="5" w:tentative="0">
      <w:start w:val="1"/>
      <w:numFmt w:val="decimal"/>
      <w:pStyle w:val="71"/>
      <w:suff w:val="nothing"/>
      <w:lvlText w:val="%1.%2.%3.%4.%5.%6　"/>
      <w:lvlJc w:val="left"/>
      <w:pPr>
        <w:ind w:left="0" w:firstLine="0"/>
      </w:pPr>
      <w:rPr>
        <w:rFonts w:hint="eastAsia" w:ascii="黑体" w:hAnsi="Times New Roman" w:eastAsia="黑体"/>
        <w:b w:val="0"/>
        <w:i w:val="0"/>
        <w:sz w:val="21"/>
      </w:rPr>
    </w:lvl>
    <w:lvl w:ilvl="6" w:tentative="0">
      <w:start w:val="1"/>
      <w:numFmt w:val="decimal"/>
      <w:pStyle w:val="8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8">
    <w:nsid w:val="6CEA2025"/>
    <w:multiLevelType w:val="multilevel"/>
    <w:tmpl w:val="6CEA2025"/>
    <w:lvl w:ilvl="0" w:tentative="0">
      <w:start w:val="1"/>
      <w:numFmt w:val="none"/>
      <w:pStyle w:val="78"/>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pStyle w:val="80"/>
      <w:suff w:val="nothing"/>
      <w:lvlText w:val="%1%2.%3.%4.%5　"/>
      <w:lvlJc w:val="left"/>
      <w:pPr>
        <w:ind w:left="0" w:firstLine="0"/>
      </w:pPr>
      <w:rPr>
        <w:rFonts w:hint="eastAsia" w:ascii="黑体" w:hAnsi="Times New Roman" w:eastAsia="黑体"/>
        <w:b w:val="0"/>
        <w:i w:val="0"/>
        <w:sz w:val="21"/>
      </w:rPr>
    </w:lvl>
    <w:lvl w:ilvl="5" w:tentative="0">
      <w:start w:val="1"/>
      <w:numFmt w:val="decimal"/>
      <w:pStyle w:val="109"/>
      <w:suff w:val="nothing"/>
      <w:lvlText w:val="%1%2.%3.%4.%5.%6　"/>
      <w:lvlJc w:val="left"/>
      <w:pPr>
        <w:ind w:left="0" w:firstLine="0"/>
      </w:pPr>
      <w:rPr>
        <w:rFonts w:hint="eastAsia" w:ascii="黑体" w:hAnsi="Times New Roman" w:eastAsia="黑体"/>
        <w:b w:val="0"/>
        <w:i w:val="0"/>
        <w:sz w:val="21"/>
      </w:rPr>
    </w:lvl>
    <w:lvl w:ilvl="6" w:tentative="0">
      <w:start w:val="1"/>
      <w:numFmt w:val="decimal"/>
      <w:pStyle w:val="11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6DBF04F4"/>
    <w:multiLevelType w:val="multilevel"/>
    <w:tmpl w:val="6DBF04F4"/>
    <w:lvl w:ilvl="0" w:tentative="0">
      <w:start w:val="1"/>
      <w:numFmt w:val="none"/>
      <w:pStyle w:val="120"/>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76933334"/>
    <w:multiLevelType w:val="multilevel"/>
    <w:tmpl w:val="76933334"/>
    <w:lvl w:ilvl="0" w:tentative="0">
      <w:start w:val="1"/>
      <w:numFmt w:val="none"/>
      <w:pStyle w:val="10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7"/>
  </w:num>
  <w:num w:numId="4">
    <w:abstractNumId w:val="8"/>
  </w:num>
  <w:num w:numId="5">
    <w:abstractNumId w:val="10"/>
  </w:num>
  <w:num w:numId="6">
    <w:abstractNumId w:val="3"/>
  </w:num>
  <w:num w:numId="7">
    <w:abstractNumId w:val="6"/>
  </w:num>
  <w:num w:numId="8">
    <w:abstractNumId w:val="5"/>
  </w:num>
  <w:num w:numId="9">
    <w:abstractNumId w:val="9"/>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documentProtection w:enforcement="0"/>
  <w:defaultTabStop w:val="420"/>
  <w:drawingGridHorizontalSpacing w:val="96"/>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DViY2JkMjU3NGYzZTEwMzZmMGFkZWViYmNkYWU3NDIifQ=="/>
  </w:docVars>
  <w:rsids>
    <w:rsidRoot w:val="00172A27"/>
    <w:rsid w:val="00000600"/>
    <w:rsid w:val="00001AD5"/>
    <w:rsid w:val="00003491"/>
    <w:rsid w:val="000037D2"/>
    <w:rsid w:val="000065A1"/>
    <w:rsid w:val="00012C67"/>
    <w:rsid w:val="00014276"/>
    <w:rsid w:val="00015100"/>
    <w:rsid w:val="00020D33"/>
    <w:rsid w:val="00021C6E"/>
    <w:rsid w:val="00022D05"/>
    <w:rsid w:val="00023A0F"/>
    <w:rsid w:val="0002669E"/>
    <w:rsid w:val="00027415"/>
    <w:rsid w:val="000449B0"/>
    <w:rsid w:val="00047546"/>
    <w:rsid w:val="000501FC"/>
    <w:rsid w:val="000555F5"/>
    <w:rsid w:val="00056034"/>
    <w:rsid w:val="00060C30"/>
    <w:rsid w:val="0006511B"/>
    <w:rsid w:val="00066DF5"/>
    <w:rsid w:val="00067912"/>
    <w:rsid w:val="00072C62"/>
    <w:rsid w:val="00076838"/>
    <w:rsid w:val="00076FE5"/>
    <w:rsid w:val="000906AF"/>
    <w:rsid w:val="000913AA"/>
    <w:rsid w:val="00091710"/>
    <w:rsid w:val="00091BBF"/>
    <w:rsid w:val="00095480"/>
    <w:rsid w:val="000A1245"/>
    <w:rsid w:val="000A1780"/>
    <w:rsid w:val="000A408A"/>
    <w:rsid w:val="000A5135"/>
    <w:rsid w:val="000A6CE1"/>
    <w:rsid w:val="000A702B"/>
    <w:rsid w:val="000B15F1"/>
    <w:rsid w:val="000B3B53"/>
    <w:rsid w:val="000C795D"/>
    <w:rsid w:val="000C7D1E"/>
    <w:rsid w:val="000D0D61"/>
    <w:rsid w:val="000D11AC"/>
    <w:rsid w:val="000D14F2"/>
    <w:rsid w:val="000D5EB5"/>
    <w:rsid w:val="000D6845"/>
    <w:rsid w:val="000E0F71"/>
    <w:rsid w:val="000E1472"/>
    <w:rsid w:val="000E5568"/>
    <w:rsid w:val="000F0490"/>
    <w:rsid w:val="000F1C53"/>
    <w:rsid w:val="000F234E"/>
    <w:rsid w:val="000F3D81"/>
    <w:rsid w:val="000F788D"/>
    <w:rsid w:val="00100BB8"/>
    <w:rsid w:val="00101C16"/>
    <w:rsid w:val="00104AC8"/>
    <w:rsid w:val="00105177"/>
    <w:rsid w:val="00105B9F"/>
    <w:rsid w:val="00107566"/>
    <w:rsid w:val="0011003E"/>
    <w:rsid w:val="00111A00"/>
    <w:rsid w:val="00114105"/>
    <w:rsid w:val="00115CB3"/>
    <w:rsid w:val="001206FE"/>
    <w:rsid w:val="00121083"/>
    <w:rsid w:val="00122C86"/>
    <w:rsid w:val="00122F0F"/>
    <w:rsid w:val="00126B2A"/>
    <w:rsid w:val="0012777A"/>
    <w:rsid w:val="00132A68"/>
    <w:rsid w:val="001331D7"/>
    <w:rsid w:val="00135A95"/>
    <w:rsid w:val="00143336"/>
    <w:rsid w:val="00143401"/>
    <w:rsid w:val="00143C40"/>
    <w:rsid w:val="00145CC3"/>
    <w:rsid w:val="0015079E"/>
    <w:rsid w:val="00152D7E"/>
    <w:rsid w:val="00154115"/>
    <w:rsid w:val="00156A94"/>
    <w:rsid w:val="00162151"/>
    <w:rsid w:val="001621BF"/>
    <w:rsid w:val="00162298"/>
    <w:rsid w:val="00163D2E"/>
    <w:rsid w:val="00172A27"/>
    <w:rsid w:val="00173798"/>
    <w:rsid w:val="00173E8B"/>
    <w:rsid w:val="00174E25"/>
    <w:rsid w:val="00176EB9"/>
    <w:rsid w:val="001828C2"/>
    <w:rsid w:val="001903A2"/>
    <w:rsid w:val="00195AED"/>
    <w:rsid w:val="001970C8"/>
    <w:rsid w:val="00197999"/>
    <w:rsid w:val="001A0134"/>
    <w:rsid w:val="001A168A"/>
    <w:rsid w:val="001B17CC"/>
    <w:rsid w:val="001B3EB1"/>
    <w:rsid w:val="001B7439"/>
    <w:rsid w:val="001C0680"/>
    <w:rsid w:val="001C0B8E"/>
    <w:rsid w:val="001C384F"/>
    <w:rsid w:val="001C7ACD"/>
    <w:rsid w:val="001D2338"/>
    <w:rsid w:val="001D717A"/>
    <w:rsid w:val="001E37A6"/>
    <w:rsid w:val="001E6600"/>
    <w:rsid w:val="001F162E"/>
    <w:rsid w:val="001F46BE"/>
    <w:rsid w:val="001F6DDE"/>
    <w:rsid w:val="001F7A0C"/>
    <w:rsid w:val="002045D5"/>
    <w:rsid w:val="0020499A"/>
    <w:rsid w:val="0020534B"/>
    <w:rsid w:val="00213480"/>
    <w:rsid w:val="002139D7"/>
    <w:rsid w:val="002146D1"/>
    <w:rsid w:val="00214AD8"/>
    <w:rsid w:val="00215982"/>
    <w:rsid w:val="00216A3B"/>
    <w:rsid w:val="00221686"/>
    <w:rsid w:val="00222AC5"/>
    <w:rsid w:val="00225EC8"/>
    <w:rsid w:val="00232FD3"/>
    <w:rsid w:val="00234591"/>
    <w:rsid w:val="00234D6C"/>
    <w:rsid w:val="00243D10"/>
    <w:rsid w:val="00245229"/>
    <w:rsid w:val="00245893"/>
    <w:rsid w:val="00246E3B"/>
    <w:rsid w:val="00247988"/>
    <w:rsid w:val="00250799"/>
    <w:rsid w:val="00251D4A"/>
    <w:rsid w:val="002526E1"/>
    <w:rsid w:val="00257071"/>
    <w:rsid w:val="00270414"/>
    <w:rsid w:val="00271B36"/>
    <w:rsid w:val="00273C64"/>
    <w:rsid w:val="002763D0"/>
    <w:rsid w:val="002826DE"/>
    <w:rsid w:val="002831FC"/>
    <w:rsid w:val="00287E6F"/>
    <w:rsid w:val="00291E81"/>
    <w:rsid w:val="00292F15"/>
    <w:rsid w:val="00292F8E"/>
    <w:rsid w:val="00294EC4"/>
    <w:rsid w:val="002A140C"/>
    <w:rsid w:val="002A1BF1"/>
    <w:rsid w:val="002A43A2"/>
    <w:rsid w:val="002A67B6"/>
    <w:rsid w:val="002B1A70"/>
    <w:rsid w:val="002B3036"/>
    <w:rsid w:val="002B4AF7"/>
    <w:rsid w:val="002C1971"/>
    <w:rsid w:val="002C2941"/>
    <w:rsid w:val="002C5CE4"/>
    <w:rsid w:val="002D02E7"/>
    <w:rsid w:val="002D20F2"/>
    <w:rsid w:val="002D5E7E"/>
    <w:rsid w:val="002D67E2"/>
    <w:rsid w:val="002D6ED0"/>
    <w:rsid w:val="002E1947"/>
    <w:rsid w:val="002E28C5"/>
    <w:rsid w:val="002E35BF"/>
    <w:rsid w:val="002F0DE6"/>
    <w:rsid w:val="002F45EE"/>
    <w:rsid w:val="002F4B74"/>
    <w:rsid w:val="0030073B"/>
    <w:rsid w:val="00305AC4"/>
    <w:rsid w:val="00306CBC"/>
    <w:rsid w:val="003073C7"/>
    <w:rsid w:val="00312A0F"/>
    <w:rsid w:val="00312A4B"/>
    <w:rsid w:val="003131D2"/>
    <w:rsid w:val="00313385"/>
    <w:rsid w:val="00314FAB"/>
    <w:rsid w:val="00321005"/>
    <w:rsid w:val="003227D7"/>
    <w:rsid w:val="0032534D"/>
    <w:rsid w:val="00326368"/>
    <w:rsid w:val="003279F1"/>
    <w:rsid w:val="003346EE"/>
    <w:rsid w:val="0033484C"/>
    <w:rsid w:val="00341376"/>
    <w:rsid w:val="00344552"/>
    <w:rsid w:val="00347C8B"/>
    <w:rsid w:val="00351452"/>
    <w:rsid w:val="00353543"/>
    <w:rsid w:val="003536C8"/>
    <w:rsid w:val="003546C0"/>
    <w:rsid w:val="00354A7F"/>
    <w:rsid w:val="003559F6"/>
    <w:rsid w:val="0036009E"/>
    <w:rsid w:val="0036599B"/>
    <w:rsid w:val="00371C18"/>
    <w:rsid w:val="00371E4A"/>
    <w:rsid w:val="00371EBB"/>
    <w:rsid w:val="003751BA"/>
    <w:rsid w:val="00380534"/>
    <w:rsid w:val="003827ED"/>
    <w:rsid w:val="00384733"/>
    <w:rsid w:val="00385748"/>
    <w:rsid w:val="00386047"/>
    <w:rsid w:val="003863F3"/>
    <w:rsid w:val="0039611D"/>
    <w:rsid w:val="00397098"/>
    <w:rsid w:val="00397D76"/>
    <w:rsid w:val="003A39B9"/>
    <w:rsid w:val="003A5BC3"/>
    <w:rsid w:val="003A6A58"/>
    <w:rsid w:val="003B2404"/>
    <w:rsid w:val="003B3287"/>
    <w:rsid w:val="003B39C8"/>
    <w:rsid w:val="003B42E9"/>
    <w:rsid w:val="003B4BA1"/>
    <w:rsid w:val="003C19CA"/>
    <w:rsid w:val="003C31BD"/>
    <w:rsid w:val="003C49BC"/>
    <w:rsid w:val="003C5970"/>
    <w:rsid w:val="003C5AC1"/>
    <w:rsid w:val="003D1718"/>
    <w:rsid w:val="003D4B7D"/>
    <w:rsid w:val="003D4CCE"/>
    <w:rsid w:val="003D599A"/>
    <w:rsid w:val="003D5A36"/>
    <w:rsid w:val="003E5D78"/>
    <w:rsid w:val="003E6942"/>
    <w:rsid w:val="003E7769"/>
    <w:rsid w:val="003E7BC0"/>
    <w:rsid w:val="003F3CC1"/>
    <w:rsid w:val="00401712"/>
    <w:rsid w:val="00403580"/>
    <w:rsid w:val="004056C2"/>
    <w:rsid w:val="00406723"/>
    <w:rsid w:val="004079C8"/>
    <w:rsid w:val="004135E4"/>
    <w:rsid w:val="0042117C"/>
    <w:rsid w:val="0042404B"/>
    <w:rsid w:val="0043582D"/>
    <w:rsid w:val="00436CEC"/>
    <w:rsid w:val="00437DF0"/>
    <w:rsid w:val="004422EA"/>
    <w:rsid w:val="00443250"/>
    <w:rsid w:val="004506A0"/>
    <w:rsid w:val="00456308"/>
    <w:rsid w:val="00456AB0"/>
    <w:rsid w:val="00463DF6"/>
    <w:rsid w:val="00465587"/>
    <w:rsid w:val="00467A0C"/>
    <w:rsid w:val="0047255A"/>
    <w:rsid w:val="0047426C"/>
    <w:rsid w:val="0047467F"/>
    <w:rsid w:val="00476640"/>
    <w:rsid w:val="004821FE"/>
    <w:rsid w:val="0048765D"/>
    <w:rsid w:val="00487F12"/>
    <w:rsid w:val="00491B3A"/>
    <w:rsid w:val="00491FFA"/>
    <w:rsid w:val="004934E6"/>
    <w:rsid w:val="00493893"/>
    <w:rsid w:val="004938A1"/>
    <w:rsid w:val="0049599B"/>
    <w:rsid w:val="004A0D8A"/>
    <w:rsid w:val="004A4FDC"/>
    <w:rsid w:val="004B4B4C"/>
    <w:rsid w:val="004B5246"/>
    <w:rsid w:val="004C215F"/>
    <w:rsid w:val="004C2557"/>
    <w:rsid w:val="004C70B5"/>
    <w:rsid w:val="004D5E39"/>
    <w:rsid w:val="004D6095"/>
    <w:rsid w:val="004D6444"/>
    <w:rsid w:val="004D7338"/>
    <w:rsid w:val="004E40CE"/>
    <w:rsid w:val="004F05BF"/>
    <w:rsid w:val="004F5D98"/>
    <w:rsid w:val="004F642A"/>
    <w:rsid w:val="00505DB1"/>
    <w:rsid w:val="00506F87"/>
    <w:rsid w:val="00507B92"/>
    <w:rsid w:val="00510BC3"/>
    <w:rsid w:val="00512A9D"/>
    <w:rsid w:val="005135AC"/>
    <w:rsid w:val="005176CC"/>
    <w:rsid w:val="00544603"/>
    <w:rsid w:val="005454CE"/>
    <w:rsid w:val="0055147E"/>
    <w:rsid w:val="005548F8"/>
    <w:rsid w:val="00555303"/>
    <w:rsid w:val="00557671"/>
    <w:rsid w:val="005647BF"/>
    <w:rsid w:val="00574AE5"/>
    <w:rsid w:val="00576510"/>
    <w:rsid w:val="0057659A"/>
    <w:rsid w:val="00583CCC"/>
    <w:rsid w:val="00585419"/>
    <w:rsid w:val="005867C4"/>
    <w:rsid w:val="00590B1C"/>
    <w:rsid w:val="005925DF"/>
    <w:rsid w:val="00593BEA"/>
    <w:rsid w:val="005945B8"/>
    <w:rsid w:val="005A0E0F"/>
    <w:rsid w:val="005A24E0"/>
    <w:rsid w:val="005A63BF"/>
    <w:rsid w:val="005A66CB"/>
    <w:rsid w:val="005A785A"/>
    <w:rsid w:val="005B0C1C"/>
    <w:rsid w:val="005B2144"/>
    <w:rsid w:val="005B2F38"/>
    <w:rsid w:val="005B2FD0"/>
    <w:rsid w:val="005B4EFD"/>
    <w:rsid w:val="005B7535"/>
    <w:rsid w:val="005C0DE9"/>
    <w:rsid w:val="005C53B1"/>
    <w:rsid w:val="005C5985"/>
    <w:rsid w:val="005C5B5A"/>
    <w:rsid w:val="005C67C9"/>
    <w:rsid w:val="005C7441"/>
    <w:rsid w:val="005D32C5"/>
    <w:rsid w:val="005E0C0B"/>
    <w:rsid w:val="005E128E"/>
    <w:rsid w:val="005E2069"/>
    <w:rsid w:val="005E51A3"/>
    <w:rsid w:val="005E65B3"/>
    <w:rsid w:val="005E750F"/>
    <w:rsid w:val="005E77FA"/>
    <w:rsid w:val="005F05C9"/>
    <w:rsid w:val="005F3142"/>
    <w:rsid w:val="005F3175"/>
    <w:rsid w:val="005F4E57"/>
    <w:rsid w:val="005F5C81"/>
    <w:rsid w:val="005F68C4"/>
    <w:rsid w:val="005F6AE2"/>
    <w:rsid w:val="005F7888"/>
    <w:rsid w:val="0060176C"/>
    <w:rsid w:val="00607E57"/>
    <w:rsid w:val="00613BB2"/>
    <w:rsid w:val="0061433E"/>
    <w:rsid w:val="00620635"/>
    <w:rsid w:val="00623DF3"/>
    <w:rsid w:val="00630A22"/>
    <w:rsid w:val="006313C2"/>
    <w:rsid w:val="0063419D"/>
    <w:rsid w:val="006350A9"/>
    <w:rsid w:val="00635D61"/>
    <w:rsid w:val="00641B49"/>
    <w:rsid w:val="00642188"/>
    <w:rsid w:val="006429BD"/>
    <w:rsid w:val="00644DB7"/>
    <w:rsid w:val="00647235"/>
    <w:rsid w:val="00650490"/>
    <w:rsid w:val="00652828"/>
    <w:rsid w:val="0065388D"/>
    <w:rsid w:val="00653ED1"/>
    <w:rsid w:val="00655105"/>
    <w:rsid w:val="00656FC3"/>
    <w:rsid w:val="0066079F"/>
    <w:rsid w:val="00661134"/>
    <w:rsid w:val="00662B24"/>
    <w:rsid w:val="00663563"/>
    <w:rsid w:val="0066430B"/>
    <w:rsid w:val="00664FC1"/>
    <w:rsid w:val="006661EF"/>
    <w:rsid w:val="006676B9"/>
    <w:rsid w:val="0067052E"/>
    <w:rsid w:val="0067328A"/>
    <w:rsid w:val="006759B1"/>
    <w:rsid w:val="0067614A"/>
    <w:rsid w:val="0067788D"/>
    <w:rsid w:val="00681855"/>
    <w:rsid w:val="006860D7"/>
    <w:rsid w:val="00686B9D"/>
    <w:rsid w:val="006903B2"/>
    <w:rsid w:val="00691C85"/>
    <w:rsid w:val="00692E9D"/>
    <w:rsid w:val="00693010"/>
    <w:rsid w:val="0069459D"/>
    <w:rsid w:val="00694984"/>
    <w:rsid w:val="006A03B7"/>
    <w:rsid w:val="006A667F"/>
    <w:rsid w:val="006B1DD6"/>
    <w:rsid w:val="006B35CD"/>
    <w:rsid w:val="006B44C8"/>
    <w:rsid w:val="006C25E9"/>
    <w:rsid w:val="006C2FDA"/>
    <w:rsid w:val="006C3803"/>
    <w:rsid w:val="006C7A34"/>
    <w:rsid w:val="006D0147"/>
    <w:rsid w:val="006D2EC0"/>
    <w:rsid w:val="006D45A2"/>
    <w:rsid w:val="006E2E08"/>
    <w:rsid w:val="006E5264"/>
    <w:rsid w:val="006E7099"/>
    <w:rsid w:val="006F1EFE"/>
    <w:rsid w:val="006F2C6B"/>
    <w:rsid w:val="006F3306"/>
    <w:rsid w:val="007008F7"/>
    <w:rsid w:val="00702FA1"/>
    <w:rsid w:val="00703861"/>
    <w:rsid w:val="00704585"/>
    <w:rsid w:val="00706E5C"/>
    <w:rsid w:val="0070711B"/>
    <w:rsid w:val="007074BB"/>
    <w:rsid w:val="00707920"/>
    <w:rsid w:val="00712D66"/>
    <w:rsid w:val="00713ADE"/>
    <w:rsid w:val="007158CA"/>
    <w:rsid w:val="00715923"/>
    <w:rsid w:val="00720BC2"/>
    <w:rsid w:val="00721258"/>
    <w:rsid w:val="00721780"/>
    <w:rsid w:val="00721EC6"/>
    <w:rsid w:val="007233AC"/>
    <w:rsid w:val="00723488"/>
    <w:rsid w:val="007239E8"/>
    <w:rsid w:val="00725B7B"/>
    <w:rsid w:val="007323E9"/>
    <w:rsid w:val="00733651"/>
    <w:rsid w:val="00734716"/>
    <w:rsid w:val="00735BCB"/>
    <w:rsid w:val="0073613C"/>
    <w:rsid w:val="007377DC"/>
    <w:rsid w:val="00744594"/>
    <w:rsid w:val="0075336B"/>
    <w:rsid w:val="00753E95"/>
    <w:rsid w:val="00757041"/>
    <w:rsid w:val="00760D8C"/>
    <w:rsid w:val="007701D5"/>
    <w:rsid w:val="00770A66"/>
    <w:rsid w:val="00772F48"/>
    <w:rsid w:val="00775B4F"/>
    <w:rsid w:val="00783895"/>
    <w:rsid w:val="007853F1"/>
    <w:rsid w:val="007925DD"/>
    <w:rsid w:val="00794C03"/>
    <w:rsid w:val="00796417"/>
    <w:rsid w:val="007A381A"/>
    <w:rsid w:val="007A4AA1"/>
    <w:rsid w:val="007A5A57"/>
    <w:rsid w:val="007A659B"/>
    <w:rsid w:val="007A679E"/>
    <w:rsid w:val="007B0B2B"/>
    <w:rsid w:val="007B271C"/>
    <w:rsid w:val="007B75E7"/>
    <w:rsid w:val="007C02F8"/>
    <w:rsid w:val="007C09FA"/>
    <w:rsid w:val="007C0E4F"/>
    <w:rsid w:val="007C2AE5"/>
    <w:rsid w:val="007C53D2"/>
    <w:rsid w:val="007C7D05"/>
    <w:rsid w:val="007D0B7A"/>
    <w:rsid w:val="007E141A"/>
    <w:rsid w:val="007E1CF3"/>
    <w:rsid w:val="007E2E60"/>
    <w:rsid w:val="007E388B"/>
    <w:rsid w:val="007E3BE5"/>
    <w:rsid w:val="007E43CC"/>
    <w:rsid w:val="007E4B7B"/>
    <w:rsid w:val="007E578F"/>
    <w:rsid w:val="007E6A76"/>
    <w:rsid w:val="007F067F"/>
    <w:rsid w:val="007F09A2"/>
    <w:rsid w:val="007F0CD7"/>
    <w:rsid w:val="007F2172"/>
    <w:rsid w:val="007F2657"/>
    <w:rsid w:val="007F3D5D"/>
    <w:rsid w:val="007F4686"/>
    <w:rsid w:val="007F5135"/>
    <w:rsid w:val="007F61EF"/>
    <w:rsid w:val="00806C4E"/>
    <w:rsid w:val="008112B3"/>
    <w:rsid w:val="0081331C"/>
    <w:rsid w:val="00814A2C"/>
    <w:rsid w:val="00816166"/>
    <w:rsid w:val="00821333"/>
    <w:rsid w:val="008213C1"/>
    <w:rsid w:val="00823F72"/>
    <w:rsid w:val="00830115"/>
    <w:rsid w:val="008312E3"/>
    <w:rsid w:val="008349DA"/>
    <w:rsid w:val="00835E18"/>
    <w:rsid w:val="00836606"/>
    <w:rsid w:val="008368D7"/>
    <w:rsid w:val="00847689"/>
    <w:rsid w:val="008576BB"/>
    <w:rsid w:val="00860484"/>
    <w:rsid w:val="008606CA"/>
    <w:rsid w:val="0086131B"/>
    <w:rsid w:val="00862C03"/>
    <w:rsid w:val="00864671"/>
    <w:rsid w:val="00870079"/>
    <w:rsid w:val="008829BA"/>
    <w:rsid w:val="00890A40"/>
    <w:rsid w:val="0089568E"/>
    <w:rsid w:val="008A05A5"/>
    <w:rsid w:val="008A2AC2"/>
    <w:rsid w:val="008A42B0"/>
    <w:rsid w:val="008A4BA9"/>
    <w:rsid w:val="008A7D25"/>
    <w:rsid w:val="008B08E1"/>
    <w:rsid w:val="008B1729"/>
    <w:rsid w:val="008B3FEA"/>
    <w:rsid w:val="008C17B4"/>
    <w:rsid w:val="008C2785"/>
    <w:rsid w:val="008C2B53"/>
    <w:rsid w:val="008C3B14"/>
    <w:rsid w:val="008D16DF"/>
    <w:rsid w:val="008D2AC9"/>
    <w:rsid w:val="008D4D60"/>
    <w:rsid w:val="008D4F47"/>
    <w:rsid w:val="008E3432"/>
    <w:rsid w:val="008E4175"/>
    <w:rsid w:val="008F2F65"/>
    <w:rsid w:val="008F69A1"/>
    <w:rsid w:val="009007FD"/>
    <w:rsid w:val="00902749"/>
    <w:rsid w:val="0091240F"/>
    <w:rsid w:val="00913151"/>
    <w:rsid w:val="00916797"/>
    <w:rsid w:val="0092011B"/>
    <w:rsid w:val="00921F24"/>
    <w:rsid w:val="00931D59"/>
    <w:rsid w:val="00932B37"/>
    <w:rsid w:val="00937021"/>
    <w:rsid w:val="00946E0B"/>
    <w:rsid w:val="00947E40"/>
    <w:rsid w:val="00950369"/>
    <w:rsid w:val="00950992"/>
    <w:rsid w:val="00952DB9"/>
    <w:rsid w:val="00955419"/>
    <w:rsid w:val="009578C9"/>
    <w:rsid w:val="0096041E"/>
    <w:rsid w:val="00960557"/>
    <w:rsid w:val="00966B76"/>
    <w:rsid w:val="00971125"/>
    <w:rsid w:val="009732CB"/>
    <w:rsid w:val="00980150"/>
    <w:rsid w:val="00980B5A"/>
    <w:rsid w:val="00982752"/>
    <w:rsid w:val="00984CFD"/>
    <w:rsid w:val="0098544E"/>
    <w:rsid w:val="00985CDC"/>
    <w:rsid w:val="009865BB"/>
    <w:rsid w:val="009871AC"/>
    <w:rsid w:val="00991894"/>
    <w:rsid w:val="009967E7"/>
    <w:rsid w:val="009A0CB2"/>
    <w:rsid w:val="009A25F3"/>
    <w:rsid w:val="009A53E0"/>
    <w:rsid w:val="009B5C44"/>
    <w:rsid w:val="009B5C5B"/>
    <w:rsid w:val="009B72F4"/>
    <w:rsid w:val="009C0D8D"/>
    <w:rsid w:val="009C14D0"/>
    <w:rsid w:val="009C5AD1"/>
    <w:rsid w:val="009C75E1"/>
    <w:rsid w:val="009D11D2"/>
    <w:rsid w:val="009D2A0F"/>
    <w:rsid w:val="009D79EC"/>
    <w:rsid w:val="009D79F8"/>
    <w:rsid w:val="009E5D07"/>
    <w:rsid w:val="009F1D4E"/>
    <w:rsid w:val="009F4176"/>
    <w:rsid w:val="009F4DB5"/>
    <w:rsid w:val="009F7B82"/>
    <w:rsid w:val="00A00ECF"/>
    <w:rsid w:val="00A03BC6"/>
    <w:rsid w:val="00A03DFB"/>
    <w:rsid w:val="00A0482F"/>
    <w:rsid w:val="00A0766F"/>
    <w:rsid w:val="00A0793E"/>
    <w:rsid w:val="00A11715"/>
    <w:rsid w:val="00A17DD9"/>
    <w:rsid w:val="00A202BB"/>
    <w:rsid w:val="00A23B2D"/>
    <w:rsid w:val="00A26173"/>
    <w:rsid w:val="00A26F01"/>
    <w:rsid w:val="00A2765F"/>
    <w:rsid w:val="00A31843"/>
    <w:rsid w:val="00A3321F"/>
    <w:rsid w:val="00A351FE"/>
    <w:rsid w:val="00A40428"/>
    <w:rsid w:val="00A40B87"/>
    <w:rsid w:val="00A41592"/>
    <w:rsid w:val="00A43244"/>
    <w:rsid w:val="00A45456"/>
    <w:rsid w:val="00A5121B"/>
    <w:rsid w:val="00A57333"/>
    <w:rsid w:val="00A66073"/>
    <w:rsid w:val="00A66A91"/>
    <w:rsid w:val="00A67094"/>
    <w:rsid w:val="00A729BC"/>
    <w:rsid w:val="00A732EB"/>
    <w:rsid w:val="00A74A2A"/>
    <w:rsid w:val="00A75282"/>
    <w:rsid w:val="00A7649C"/>
    <w:rsid w:val="00A8473F"/>
    <w:rsid w:val="00A85A99"/>
    <w:rsid w:val="00A875F1"/>
    <w:rsid w:val="00A94D4B"/>
    <w:rsid w:val="00AA0E91"/>
    <w:rsid w:val="00AA111F"/>
    <w:rsid w:val="00AA35BE"/>
    <w:rsid w:val="00AA532B"/>
    <w:rsid w:val="00AA6F75"/>
    <w:rsid w:val="00AB1DA6"/>
    <w:rsid w:val="00AB27AB"/>
    <w:rsid w:val="00AB3389"/>
    <w:rsid w:val="00AB562D"/>
    <w:rsid w:val="00AB65AE"/>
    <w:rsid w:val="00AC1DDC"/>
    <w:rsid w:val="00AC2474"/>
    <w:rsid w:val="00AC3354"/>
    <w:rsid w:val="00AC345E"/>
    <w:rsid w:val="00AC3EBE"/>
    <w:rsid w:val="00AD1B0F"/>
    <w:rsid w:val="00AD54CD"/>
    <w:rsid w:val="00AD74AF"/>
    <w:rsid w:val="00AE0F34"/>
    <w:rsid w:val="00AE16B5"/>
    <w:rsid w:val="00AE28EE"/>
    <w:rsid w:val="00AE3CDA"/>
    <w:rsid w:val="00AF5980"/>
    <w:rsid w:val="00B00650"/>
    <w:rsid w:val="00B011AE"/>
    <w:rsid w:val="00B01C80"/>
    <w:rsid w:val="00B03F22"/>
    <w:rsid w:val="00B07AFA"/>
    <w:rsid w:val="00B12D8B"/>
    <w:rsid w:val="00B144E7"/>
    <w:rsid w:val="00B171AA"/>
    <w:rsid w:val="00B17614"/>
    <w:rsid w:val="00B202ED"/>
    <w:rsid w:val="00B26562"/>
    <w:rsid w:val="00B34AE4"/>
    <w:rsid w:val="00B431B4"/>
    <w:rsid w:val="00B50FE1"/>
    <w:rsid w:val="00B55F70"/>
    <w:rsid w:val="00B6468A"/>
    <w:rsid w:val="00B71489"/>
    <w:rsid w:val="00B71814"/>
    <w:rsid w:val="00B71AF0"/>
    <w:rsid w:val="00B7391C"/>
    <w:rsid w:val="00B75FA3"/>
    <w:rsid w:val="00B76A83"/>
    <w:rsid w:val="00B8410B"/>
    <w:rsid w:val="00B86402"/>
    <w:rsid w:val="00B86A83"/>
    <w:rsid w:val="00B878DF"/>
    <w:rsid w:val="00B9212F"/>
    <w:rsid w:val="00BA1064"/>
    <w:rsid w:val="00BA3596"/>
    <w:rsid w:val="00BA7198"/>
    <w:rsid w:val="00BB01F7"/>
    <w:rsid w:val="00BB3E60"/>
    <w:rsid w:val="00BC1127"/>
    <w:rsid w:val="00BC1BE2"/>
    <w:rsid w:val="00BC1CE7"/>
    <w:rsid w:val="00BC20A6"/>
    <w:rsid w:val="00BC37CD"/>
    <w:rsid w:val="00BC4F33"/>
    <w:rsid w:val="00BC5C21"/>
    <w:rsid w:val="00BD02DD"/>
    <w:rsid w:val="00BD4C8C"/>
    <w:rsid w:val="00BE4A1D"/>
    <w:rsid w:val="00BF1135"/>
    <w:rsid w:val="00BF1CA9"/>
    <w:rsid w:val="00BF5792"/>
    <w:rsid w:val="00BF5B87"/>
    <w:rsid w:val="00C01785"/>
    <w:rsid w:val="00C12012"/>
    <w:rsid w:val="00C12629"/>
    <w:rsid w:val="00C13007"/>
    <w:rsid w:val="00C149C4"/>
    <w:rsid w:val="00C15529"/>
    <w:rsid w:val="00C20832"/>
    <w:rsid w:val="00C22A24"/>
    <w:rsid w:val="00C24375"/>
    <w:rsid w:val="00C3400E"/>
    <w:rsid w:val="00C379B0"/>
    <w:rsid w:val="00C423AB"/>
    <w:rsid w:val="00C44773"/>
    <w:rsid w:val="00C47468"/>
    <w:rsid w:val="00C57649"/>
    <w:rsid w:val="00C57935"/>
    <w:rsid w:val="00C62584"/>
    <w:rsid w:val="00C62E89"/>
    <w:rsid w:val="00C66B8A"/>
    <w:rsid w:val="00C7321F"/>
    <w:rsid w:val="00C74CC2"/>
    <w:rsid w:val="00C825BE"/>
    <w:rsid w:val="00C82C13"/>
    <w:rsid w:val="00C82C8F"/>
    <w:rsid w:val="00C8306C"/>
    <w:rsid w:val="00C83F73"/>
    <w:rsid w:val="00C87518"/>
    <w:rsid w:val="00C901D0"/>
    <w:rsid w:val="00C93843"/>
    <w:rsid w:val="00C9486F"/>
    <w:rsid w:val="00C9594F"/>
    <w:rsid w:val="00CA1E44"/>
    <w:rsid w:val="00CA2B85"/>
    <w:rsid w:val="00CA2CA2"/>
    <w:rsid w:val="00CA4C3F"/>
    <w:rsid w:val="00CA76CA"/>
    <w:rsid w:val="00CB38D0"/>
    <w:rsid w:val="00CB546A"/>
    <w:rsid w:val="00CB7B2D"/>
    <w:rsid w:val="00CC1B76"/>
    <w:rsid w:val="00CC3027"/>
    <w:rsid w:val="00CC40B9"/>
    <w:rsid w:val="00CC4188"/>
    <w:rsid w:val="00CD1F0A"/>
    <w:rsid w:val="00CE0C7C"/>
    <w:rsid w:val="00CE62C5"/>
    <w:rsid w:val="00CF0654"/>
    <w:rsid w:val="00CF13C8"/>
    <w:rsid w:val="00CF1D17"/>
    <w:rsid w:val="00CF43B4"/>
    <w:rsid w:val="00CF5B07"/>
    <w:rsid w:val="00D00303"/>
    <w:rsid w:val="00D025CF"/>
    <w:rsid w:val="00D02803"/>
    <w:rsid w:val="00D04050"/>
    <w:rsid w:val="00D052EE"/>
    <w:rsid w:val="00D05607"/>
    <w:rsid w:val="00D1238F"/>
    <w:rsid w:val="00D12519"/>
    <w:rsid w:val="00D14BE9"/>
    <w:rsid w:val="00D16D44"/>
    <w:rsid w:val="00D20DA6"/>
    <w:rsid w:val="00D221D4"/>
    <w:rsid w:val="00D23439"/>
    <w:rsid w:val="00D24015"/>
    <w:rsid w:val="00D25925"/>
    <w:rsid w:val="00D25EA3"/>
    <w:rsid w:val="00D30996"/>
    <w:rsid w:val="00D347D8"/>
    <w:rsid w:val="00D358D1"/>
    <w:rsid w:val="00D37905"/>
    <w:rsid w:val="00D44F7A"/>
    <w:rsid w:val="00D50E83"/>
    <w:rsid w:val="00D519C6"/>
    <w:rsid w:val="00D52A3F"/>
    <w:rsid w:val="00D52BD9"/>
    <w:rsid w:val="00D52C31"/>
    <w:rsid w:val="00D53FCC"/>
    <w:rsid w:val="00D56580"/>
    <w:rsid w:val="00D56C68"/>
    <w:rsid w:val="00D603E8"/>
    <w:rsid w:val="00D618FE"/>
    <w:rsid w:val="00D6574E"/>
    <w:rsid w:val="00D735DB"/>
    <w:rsid w:val="00D736E9"/>
    <w:rsid w:val="00D809FC"/>
    <w:rsid w:val="00D81A38"/>
    <w:rsid w:val="00D82BEE"/>
    <w:rsid w:val="00D83490"/>
    <w:rsid w:val="00D83750"/>
    <w:rsid w:val="00D859CC"/>
    <w:rsid w:val="00D9658E"/>
    <w:rsid w:val="00D9774E"/>
    <w:rsid w:val="00DA4E9F"/>
    <w:rsid w:val="00DA6E81"/>
    <w:rsid w:val="00DA740E"/>
    <w:rsid w:val="00DB0326"/>
    <w:rsid w:val="00DB6502"/>
    <w:rsid w:val="00DC02CF"/>
    <w:rsid w:val="00DC0718"/>
    <w:rsid w:val="00DC12FB"/>
    <w:rsid w:val="00DC1C68"/>
    <w:rsid w:val="00DC4DDA"/>
    <w:rsid w:val="00DC5A69"/>
    <w:rsid w:val="00DC77F9"/>
    <w:rsid w:val="00DC7F34"/>
    <w:rsid w:val="00DD1709"/>
    <w:rsid w:val="00DD709C"/>
    <w:rsid w:val="00DE72D4"/>
    <w:rsid w:val="00DE744A"/>
    <w:rsid w:val="00DE752F"/>
    <w:rsid w:val="00DF19C6"/>
    <w:rsid w:val="00DF6D9D"/>
    <w:rsid w:val="00E00255"/>
    <w:rsid w:val="00E00499"/>
    <w:rsid w:val="00E03BE1"/>
    <w:rsid w:val="00E070CD"/>
    <w:rsid w:val="00E14A4D"/>
    <w:rsid w:val="00E15F18"/>
    <w:rsid w:val="00E20269"/>
    <w:rsid w:val="00E22538"/>
    <w:rsid w:val="00E23439"/>
    <w:rsid w:val="00E274B2"/>
    <w:rsid w:val="00E32062"/>
    <w:rsid w:val="00E32410"/>
    <w:rsid w:val="00E37E8C"/>
    <w:rsid w:val="00E43665"/>
    <w:rsid w:val="00E45B17"/>
    <w:rsid w:val="00E50C2D"/>
    <w:rsid w:val="00E5213F"/>
    <w:rsid w:val="00E52B0B"/>
    <w:rsid w:val="00E558A1"/>
    <w:rsid w:val="00E56778"/>
    <w:rsid w:val="00E6220A"/>
    <w:rsid w:val="00E62633"/>
    <w:rsid w:val="00E633DC"/>
    <w:rsid w:val="00E64F40"/>
    <w:rsid w:val="00E6672A"/>
    <w:rsid w:val="00E67693"/>
    <w:rsid w:val="00E67C2A"/>
    <w:rsid w:val="00E7002D"/>
    <w:rsid w:val="00E7432B"/>
    <w:rsid w:val="00E77911"/>
    <w:rsid w:val="00E80790"/>
    <w:rsid w:val="00E829B8"/>
    <w:rsid w:val="00E83E4A"/>
    <w:rsid w:val="00E863F9"/>
    <w:rsid w:val="00E8795F"/>
    <w:rsid w:val="00E95C9D"/>
    <w:rsid w:val="00EA0E4F"/>
    <w:rsid w:val="00EA1D86"/>
    <w:rsid w:val="00EA2643"/>
    <w:rsid w:val="00EA34DC"/>
    <w:rsid w:val="00EB2330"/>
    <w:rsid w:val="00EB2A9B"/>
    <w:rsid w:val="00EB2B63"/>
    <w:rsid w:val="00EB2D52"/>
    <w:rsid w:val="00EB3310"/>
    <w:rsid w:val="00EB3B4E"/>
    <w:rsid w:val="00EB480A"/>
    <w:rsid w:val="00EC027E"/>
    <w:rsid w:val="00EC3779"/>
    <w:rsid w:val="00EC40F8"/>
    <w:rsid w:val="00EC4D23"/>
    <w:rsid w:val="00ED653F"/>
    <w:rsid w:val="00EE2AA0"/>
    <w:rsid w:val="00EE69FC"/>
    <w:rsid w:val="00EF2837"/>
    <w:rsid w:val="00EF5C8D"/>
    <w:rsid w:val="00EF6C8E"/>
    <w:rsid w:val="00F0038C"/>
    <w:rsid w:val="00F011F1"/>
    <w:rsid w:val="00F041E2"/>
    <w:rsid w:val="00F0631D"/>
    <w:rsid w:val="00F11009"/>
    <w:rsid w:val="00F1723C"/>
    <w:rsid w:val="00F20F76"/>
    <w:rsid w:val="00F210E3"/>
    <w:rsid w:val="00F25A17"/>
    <w:rsid w:val="00F26619"/>
    <w:rsid w:val="00F2755C"/>
    <w:rsid w:val="00F3670F"/>
    <w:rsid w:val="00F37D49"/>
    <w:rsid w:val="00F40D68"/>
    <w:rsid w:val="00F43117"/>
    <w:rsid w:val="00F43420"/>
    <w:rsid w:val="00F44D9A"/>
    <w:rsid w:val="00F45C0B"/>
    <w:rsid w:val="00F509B4"/>
    <w:rsid w:val="00F67109"/>
    <w:rsid w:val="00F7218E"/>
    <w:rsid w:val="00F727D1"/>
    <w:rsid w:val="00F742BF"/>
    <w:rsid w:val="00F80D2C"/>
    <w:rsid w:val="00F82248"/>
    <w:rsid w:val="00F82D02"/>
    <w:rsid w:val="00F83528"/>
    <w:rsid w:val="00F86934"/>
    <w:rsid w:val="00F9085C"/>
    <w:rsid w:val="00F90D10"/>
    <w:rsid w:val="00F912C1"/>
    <w:rsid w:val="00F913B3"/>
    <w:rsid w:val="00F95304"/>
    <w:rsid w:val="00F96806"/>
    <w:rsid w:val="00FA73BB"/>
    <w:rsid w:val="00FA7BCF"/>
    <w:rsid w:val="00FB33BE"/>
    <w:rsid w:val="00FB51F2"/>
    <w:rsid w:val="00FB5793"/>
    <w:rsid w:val="00FC560A"/>
    <w:rsid w:val="00FC61A2"/>
    <w:rsid w:val="00FD23D5"/>
    <w:rsid w:val="00FD4385"/>
    <w:rsid w:val="00FE2FC2"/>
    <w:rsid w:val="00FE4A2A"/>
    <w:rsid w:val="00FE4D37"/>
    <w:rsid w:val="00FF4AB5"/>
    <w:rsid w:val="00FF532F"/>
    <w:rsid w:val="00FF53D3"/>
    <w:rsid w:val="00FF6184"/>
    <w:rsid w:val="00FF7901"/>
    <w:rsid w:val="0F391E8E"/>
    <w:rsid w:val="10817A27"/>
    <w:rsid w:val="172E6BEF"/>
    <w:rsid w:val="1D245677"/>
    <w:rsid w:val="24AC5689"/>
    <w:rsid w:val="28D65864"/>
    <w:rsid w:val="29346A62"/>
    <w:rsid w:val="365F44CE"/>
    <w:rsid w:val="3DCB71A1"/>
    <w:rsid w:val="48C64784"/>
    <w:rsid w:val="5ABC5C09"/>
    <w:rsid w:val="61567873"/>
    <w:rsid w:val="7152580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2"/>
    <w:next w:val="1"/>
    <w:semiHidden/>
    <w:qFormat/>
    <w:uiPriority w:val="0"/>
  </w:style>
  <w:style w:type="paragraph" w:styleId="12">
    <w:name w:val="toc 6"/>
    <w:basedOn w:val="13"/>
    <w:next w:val="1"/>
    <w:semiHidden/>
    <w:qFormat/>
    <w:uiPriority w:val="0"/>
  </w:style>
  <w:style w:type="paragraph" w:styleId="13">
    <w:name w:val="toc 5"/>
    <w:basedOn w:val="14"/>
    <w:next w:val="1"/>
    <w:semiHidden/>
    <w:qFormat/>
    <w:uiPriority w:val="0"/>
  </w:style>
  <w:style w:type="paragraph" w:styleId="14">
    <w:name w:val="toc 4"/>
    <w:basedOn w:val="15"/>
    <w:next w:val="1"/>
    <w:semiHidden/>
    <w:qFormat/>
    <w:uiPriority w:val="0"/>
  </w:style>
  <w:style w:type="paragraph" w:styleId="15">
    <w:name w:val="toc 3"/>
    <w:basedOn w:val="16"/>
    <w:next w:val="1"/>
    <w:semiHidden/>
    <w:qFormat/>
    <w:uiPriority w:val="0"/>
  </w:style>
  <w:style w:type="paragraph" w:styleId="16">
    <w:name w:val="toc 2"/>
    <w:basedOn w:val="17"/>
    <w:next w:val="1"/>
    <w:semiHidden/>
    <w:qFormat/>
    <w:uiPriority w:val="0"/>
  </w:style>
  <w:style w:type="paragraph" w:styleId="17">
    <w:name w:val="toc 1"/>
    <w:next w:val="1"/>
    <w:semiHidden/>
    <w:qFormat/>
    <w:uiPriority w:val="0"/>
    <w:pPr>
      <w:jc w:val="both"/>
    </w:pPr>
    <w:rPr>
      <w:rFonts w:ascii="宋体" w:hAnsi="Times New Roman" w:eastAsia="宋体" w:cs="Times New Roman"/>
      <w:sz w:val="21"/>
      <w:lang w:val="en-US" w:eastAsia="zh-CN" w:bidi="ar-SA"/>
    </w:rPr>
  </w:style>
  <w:style w:type="paragraph" w:styleId="18">
    <w:name w:val="Normal Indent"/>
    <w:basedOn w:val="1"/>
    <w:qFormat/>
    <w:uiPriority w:val="0"/>
    <w:pPr>
      <w:ind w:firstLine="420"/>
    </w:pPr>
  </w:style>
  <w:style w:type="paragraph" w:styleId="19">
    <w:name w:val="Document Map"/>
    <w:basedOn w:val="1"/>
    <w:semiHidden/>
    <w:qFormat/>
    <w:uiPriority w:val="0"/>
    <w:pPr>
      <w:shd w:val="clear" w:color="auto" w:fill="000080"/>
    </w:pPr>
  </w:style>
  <w:style w:type="paragraph" w:styleId="20">
    <w:name w:val="toa heading"/>
    <w:basedOn w:val="1"/>
    <w:next w:val="1"/>
    <w:semiHidden/>
    <w:qFormat/>
    <w:uiPriority w:val="0"/>
    <w:pPr>
      <w:widowControl/>
      <w:tabs>
        <w:tab w:val="left" w:pos="720"/>
      </w:tabs>
    </w:pPr>
    <w:rPr>
      <w:b/>
      <w:kern w:val="0"/>
      <w:sz w:val="22"/>
    </w:rPr>
  </w:style>
  <w:style w:type="paragraph" w:styleId="21">
    <w:name w:val="annotation text"/>
    <w:basedOn w:val="1"/>
    <w:link w:val="128"/>
    <w:semiHidden/>
    <w:qFormat/>
    <w:uiPriority w:val="0"/>
    <w:pPr>
      <w:jc w:val="left"/>
    </w:pPr>
  </w:style>
  <w:style w:type="paragraph" w:styleId="22">
    <w:name w:val="Body Text"/>
    <w:basedOn w:val="1"/>
    <w:qFormat/>
    <w:uiPriority w:val="0"/>
    <w:pPr>
      <w:spacing w:after="120"/>
    </w:pPr>
  </w:style>
  <w:style w:type="paragraph" w:styleId="23">
    <w:name w:val="Body Text Indent"/>
    <w:basedOn w:val="1"/>
    <w:qFormat/>
    <w:uiPriority w:val="0"/>
    <w:pPr>
      <w:ind w:left="420" w:hanging="420" w:hangingChars="200"/>
    </w:pPr>
  </w:style>
  <w:style w:type="paragraph" w:styleId="24">
    <w:name w:val="HTML Address"/>
    <w:basedOn w:val="1"/>
    <w:qFormat/>
    <w:uiPriority w:val="0"/>
    <w:rPr>
      <w:i/>
      <w:iCs/>
    </w:rPr>
  </w:style>
  <w:style w:type="paragraph" w:styleId="25">
    <w:name w:val="Plain Text"/>
    <w:basedOn w:val="1"/>
    <w:qFormat/>
    <w:uiPriority w:val="0"/>
    <w:rPr>
      <w:rFonts w:ascii="宋体" w:hAnsi="Courier New"/>
      <w:szCs w:val="21"/>
    </w:rPr>
  </w:style>
  <w:style w:type="paragraph" w:styleId="26">
    <w:name w:val="toc 8"/>
    <w:basedOn w:val="11"/>
    <w:next w:val="1"/>
    <w:semiHidden/>
    <w:qFormat/>
    <w:uiPriority w:val="0"/>
  </w:style>
  <w:style w:type="paragraph" w:styleId="27">
    <w:name w:val="Date"/>
    <w:basedOn w:val="1"/>
    <w:next w:val="1"/>
    <w:qFormat/>
    <w:uiPriority w:val="0"/>
    <w:rPr>
      <w:rFonts w:ascii="黑体" w:eastAsia="黑体"/>
      <w:b/>
    </w:rPr>
  </w:style>
  <w:style w:type="paragraph" w:styleId="28">
    <w:name w:val="Balloon Text"/>
    <w:basedOn w:val="1"/>
    <w:semiHidden/>
    <w:qFormat/>
    <w:uiPriority w:val="0"/>
    <w:rPr>
      <w:sz w:val="18"/>
      <w:szCs w:val="18"/>
    </w:rPr>
  </w:style>
  <w:style w:type="paragraph" w:styleId="29">
    <w:name w:val="footer"/>
    <w:basedOn w:val="1"/>
    <w:link w:val="64"/>
    <w:qFormat/>
    <w:uiPriority w:val="99"/>
    <w:pPr>
      <w:tabs>
        <w:tab w:val="center" w:pos="4153"/>
        <w:tab w:val="right" w:pos="8306"/>
      </w:tabs>
      <w:snapToGrid w:val="0"/>
      <w:ind w:right="210" w:rightChars="100"/>
      <w:jc w:val="right"/>
    </w:pPr>
    <w:rPr>
      <w:sz w:val="18"/>
      <w:szCs w:val="18"/>
    </w:rPr>
  </w:style>
  <w:style w:type="paragraph" w:styleId="30">
    <w:name w:val="header"/>
    <w:basedOn w:val="1"/>
    <w:link w:val="63"/>
    <w:qFormat/>
    <w:uiPriority w:val="0"/>
    <w:pPr>
      <w:pBdr>
        <w:bottom w:val="single" w:color="auto" w:sz="6" w:space="1"/>
      </w:pBdr>
      <w:tabs>
        <w:tab w:val="center" w:pos="4153"/>
        <w:tab w:val="right" w:pos="8306"/>
      </w:tabs>
      <w:snapToGrid w:val="0"/>
      <w:jc w:val="center"/>
    </w:pPr>
    <w:rPr>
      <w:sz w:val="18"/>
      <w:szCs w:val="18"/>
    </w:rPr>
  </w:style>
  <w:style w:type="paragraph" w:styleId="31">
    <w:name w:val="footnote text"/>
    <w:basedOn w:val="1"/>
    <w:semiHidden/>
    <w:qFormat/>
    <w:uiPriority w:val="0"/>
    <w:pPr>
      <w:snapToGrid w:val="0"/>
      <w:jc w:val="left"/>
    </w:pPr>
    <w:rPr>
      <w:sz w:val="18"/>
      <w:szCs w:val="18"/>
    </w:rPr>
  </w:style>
  <w:style w:type="paragraph" w:styleId="32">
    <w:name w:val="Body Text Indent 3"/>
    <w:basedOn w:val="1"/>
    <w:qFormat/>
    <w:uiPriority w:val="0"/>
    <w:pPr>
      <w:spacing w:after="120"/>
      <w:ind w:left="420" w:leftChars="200"/>
    </w:pPr>
    <w:rPr>
      <w:sz w:val="16"/>
      <w:szCs w:val="16"/>
    </w:rPr>
  </w:style>
  <w:style w:type="paragraph" w:styleId="33">
    <w:name w:val="toc 9"/>
    <w:basedOn w:val="26"/>
    <w:next w:val="1"/>
    <w:semiHidden/>
    <w:qFormat/>
    <w:uiPriority w:val="0"/>
  </w:style>
  <w:style w:type="paragraph" w:styleId="34">
    <w:name w:val="HTML Preformatted"/>
    <w:basedOn w:val="1"/>
    <w:qFormat/>
    <w:uiPriority w:val="0"/>
    <w:rPr>
      <w:rFonts w:ascii="Courier New" w:hAnsi="Courier New" w:cs="Courier New"/>
      <w:sz w:val="20"/>
    </w:r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link w:val="62"/>
    <w:qFormat/>
    <w:uiPriority w:val="0"/>
    <w:pPr>
      <w:spacing w:before="240" w:after="60"/>
      <w:jc w:val="center"/>
      <w:outlineLvl w:val="0"/>
    </w:pPr>
    <w:rPr>
      <w:rFonts w:ascii="Arial" w:hAnsi="Arial" w:cs="Arial"/>
      <w:b/>
      <w:bCs/>
      <w:sz w:val="32"/>
      <w:szCs w:val="32"/>
    </w:rPr>
  </w:style>
  <w:style w:type="paragraph" w:styleId="37">
    <w:name w:val="annotation subject"/>
    <w:basedOn w:val="21"/>
    <w:next w:val="21"/>
    <w:semiHidden/>
    <w:qFormat/>
    <w:uiPriority w:val="0"/>
    <w:rPr>
      <w:b/>
      <w:bCs/>
    </w:rPr>
  </w:style>
  <w:style w:type="table" w:styleId="39">
    <w:name w:val="Table Grid"/>
    <w:basedOn w:val="38"/>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page number"/>
    <w:qFormat/>
    <w:uiPriority w:val="0"/>
    <w:rPr>
      <w:rFonts w:ascii="Times New Roman" w:hAnsi="Times New Roman" w:eastAsia="宋体"/>
      <w:sz w:val="18"/>
    </w:rPr>
  </w:style>
  <w:style w:type="character" w:styleId="42">
    <w:name w:val="FollowedHyperlink"/>
    <w:qFormat/>
    <w:uiPriority w:val="0"/>
    <w:rPr>
      <w:color w:val="800080"/>
      <w:u w:val="single"/>
    </w:rPr>
  </w:style>
  <w:style w:type="character" w:styleId="43">
    <w:name w:val="HTML Definition"/>
    <w:qFormat/>
    <w:uiPriority w:val="0"/>
    <w:rPr>
      <w:i/>
      <w:iCs/>
    </w:rPr>
  </w:style>
  <w:style w:type="character" w:styleId="44">
    <w:name w:val="HTML Typewriter"/>
    <w:qFormat/>
    <w:uiPriority w:val="0"/>
    <w:rPr>
      <w:rFonts w:ascii="Courier New" w:hAnsi="Courier New"/>
      <w:sz w:val="20"/>
      <w:szCs w:val="20"/>
    </w:rPr>
  </w:style>
  <w:style w:type="character" w:styleId="45">
    <w:name w:val="HTML Acronym"/>
    <w:basedOn w:val="40"/>
    <w:qFormat/>
    <w:uiPriority w:val="0"/>
  </w:style>
  <w:style w:type="character" w:styleId="46">
    <w:name w:val="HTML Variable"/>
    <w:qFormat/>
    <w:uiPriority w:val="0"/>
    <w:rPr>
      <w:i/>
      <w:iCs/>
    </w:rPr>
  </w:style>
  <w:style w:type="character" w:styleId="47">
    <w:name w:val="Hyperlink"/>
    <w:qFormat/>
    <w:uiPriority w:val="0"/>
    <w:rPr>
      <w:rFonts w:ascii="Times New Roman" w:hAnsi="Times New Roman" w:eastAsia="宋体"/>
      <w:color w:val="auto"/>
      <w:spacing w:val="0"/>
      <w:w w:val="100"/>
      <w:position w:val="0"/>
      <w:sz w:val="21"/>
      <w:u w:val="none"/>
      <w:vertAlign w:val="baseline"/>
    </w:rPr>
  </w:style>
  <w:style w:type="character" w:styleId="48">
    <w:name w:val="HTML Code"/>
    <w:qFormat/>
    <w:uiPriority w:val="0"/>
    <w:rPr>
      <w:rFonts w:ascii="Courier New" w:hAnsi="Courier New"/>
      <w:sz w:val="20"/>
      <w:szCs w:val="20"/>
    </w:rPr>
  </w:style>
  <w:style w:type="character" w:styleId="49">
    <w:name w:val="annotation reference"/>
    <w:semiHidden/>
    <w:qFormat/>
    <w:uiPriority w:val="0"/>
    <w:rPr>
      <w:sz w:val="21"/>
      <w:szCs w:val="21"/>
    </w:rPr>
  </w:style>
  <w:style w:type="character" w:styleId="50">
    <w:name w:val="HTML Cite"/>
    <w:qFormat/>
    <w:uiPriority w:val="0"/>
    <w:rPr>
      <w:i/>
      <w:iCs/>
    </w:rPr>
  </w:style>
  <w:style w:type="character" w:styleId="51">
    <w:name w:val="footnote reference"/>
    <w:semiHidden/>
    <w:qFormat/>
    <w:uiPriority w:val="0"/>
    <w:rPr>
      <w:vertAlign w:val="superscript"/>
    </w:rPr>
  </w:style>
  <w:style w:type="character" w:styleId="52">
    <w:name w:val="HTML Keyboard"/>
    <w:qFormat/>
    <w:uiPriority w:val="0"/>
    <w:rPr>
      <w:rFonts w:ascii="Courier New" w:hAnsi="Courier New"/>
      <w:sz w:val="20"/>
      <w:szCs w:val="20"/>
    </w:rPr>
  </w:style>
  <w:style w:type="character" w:styleId="53">
    <w:name w:val="HTML Sample"/>
    <w:qFormat/>
    <w:uiPriority w:val="0"/>
    <w:rPr>
      <w:rFonts w:ascii="Courier New" w:hAnsi="Courier New"/>
    </w:rPr>
  </w:style>
  <w:style w:type="character" w:customStyle="1" w:styleId="54">
    <w:name w:val="发布"/>
    <w:qFormat/>
    <w:uiPriority w:val="0"/>
    <w:rPr>
      <w:rFonts w:ascii="黑体" w:eastAsia="黑体"/>
      <w:spacing w:val="22"/>
      <w:w w:val="100"/>
      <w:position w:val="3"/>
      <w:sz w:val="28"/>
    </w:rPr>
  </w:style>
  <w:style w:type="character" w:customStyle="1" w:styleId="55">
    <w:name w:val="个人答复风格"/>
    <w:qFormat/>
    <w:uiPriority w:val="0"/>
    <w:rPr>
      <w:rFonts w:ascii="Arial" w:hAnsi="Arial" w:eastAsia="宋体" w:cs="Arial"/>
      <w:color w:val="auto"/>
      <w:sz w:val="20"/>
    </w:rPr>
  </w:style>
  <w:style w:type="character" w:customStyle="1" w:styleId="56">
    <w:name w:val="个人撰写风格"/>
    <w:qFormat/>
    <w:uiPriority w:val="0"/>
    <w:rPr>
      <w:rFonts w:ascii="Arial" w:hAnsi="Arial" w:eastAsia="宋体" w:cs="Arial"/>
      <w:color w:val="auto"/>
      <w:sz w:val="20"/>
    </w:rPr>
  </w:style>
  <w:style w:type="character" w:customStyle="1" w:styleId="57">
    <w:name w:val="mtitle1"/>
    <w:qFormat/>
    <w:uiPriority w:val="0"/>
    <w:rPr>
      <w:rFonts w:hint="default" w:ascii="ˎ̥" w:hAnsi="ˎ̥"/>
      <w:color w:val="000000"/>
      <w:sz w:val="21"/>
      <w:szCs w:val="21"/>
    </w:rPr>
  </w:style>
  <w:style w:type="character" w:customStyle="1" w:styleId="58">
    <w:name w:val="段 Char"/>
    <w:link w:val="59"/>
    <w:qFormat/>
    <w:uiPriority w:val="0"/>
    <w:rPr>
      <w:rFonts w:ascii="宋体"/>
      <w:sz w:val="21"/>
      <w:lang w:val="en-US" w:eastAsia="zh-CN" w:bidi="ar-SA"/>
    </w:rPr>
  </w:style>
  <w:style w:type="paragraph" w:customStyle="1" w:styleId="59">
    <w:name w:val="段"/>
    <w:link w:val="58"/>
    <w:qFormat/>
    <w:uiPriority w:val="0"/>
    <w:pPr>
      <w:ind w:firstLine="200" w:firstLineChars="200"/>
      <w:jc w:val="both"/>
    </w:pPr>
    <w:rPr>
      <w:rFonts w:ascii="宋体" w:hAnsi="Times New Roman" w:eastAsia="宋体" w:cs="Times New Roman"/>
      <w:sz w:val="21"/>
      <w:lang w:val="en-US" w:eastAsia="zh-CN" w:bidi="ar-SA"/>
    </w:rPr>
  </w:style>
  <w:style w:type="character" w:customStyle="1" w:styleId="60">
    <w:name w:val="goog_qs-tidbit-1"/>
    <w:basedOn w:val="40"/>
    <w:qFormat/>
    <w:uiPriority w:val="0"/>
  </w:style>
  <w:style w:type="character" w:customStyle="1" w:styleId="61">
    <w:name w:val="goog_qs-tidbit goog_qs-tidbit-1"/>
    <w:basedOn w:val="40"/>
    <w:qFormat/>
    <w:uiPriority w:val="0"/>
  </w:style>
  <w:style w:type="character" w:customStyle="1" w:styleId="62">
    <w:name w:val="标题 字符"/>
    <w:link w:val="36"/>
    <w:qFormat/>
    <w:locked/>
    <w:uiPriority w:val="0"/>
    <w:rPr>
      <w:rFonts w:ascii="Arial" w:hAnsi="Arial" w:eastAsia="宋体" w:cs="Arial"/>
      <w:b/>
      <w:bCs/>
      <w:kern w:val="2"/>
      <w:sz w:val="32"/>
      <w:szCs w:val="32"/>
      <w:lang w:val="en-US" w:eastAsia="zh-CN" w:bidi="ar-SA"/>
    </w:rPr>
  </w:style>
  <w:style w:type="character" w:customStyle="1" w:styleId="63">
    <w:name w:val="页眉 字符"/>
    <w:link w:val="30"/>
    <w:qFormat/>
    <w:locked/>
    <w:uiPriority w:val="0"/>
    <w:rPr>
      <w:rFonts w:eastAsia="宋体"/>
      <w:kern w:val="2"/>
      <w:sz w:val="18"/>
      <w:szCs w:val="18"/>
      <w:lang w:val="en-US" w:eastAsia="zh-CN" w:bidi="ar-SA"/>
    </w:rPr>
  </w:style>
  <w:style w:type="character" w:customStyle="1" w:styleId="64">
    <w:name w:val="页脚 字符"/>
    <w:link w:val="29"/>
    <w:qFormat/>
    <w:uiPriority w:val="99"/>
    <w:rPr>
      <w:kern w:val="2"/>
      <w:sz w:val="18"/>
      <w:szCs w:val="18"/>
    </w:rPr>
  </w:style>
  <w:style w:type="paragraph" w:customStyle="1" w:styleId="65">
    <w:name w:val="示例"/>
    <w:next w:val="59"/>
    <w:qFormat/>
    <w:uiPriority w:val="0"/>
    <w:pPr>
      <w:numPr>
        <w:ilvl w:val="0"/>
        <w:numId w:val="1"/>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66">
    <w:name w:val="二级无标题条"/>
    <w:basedOn w:val="1"/>
    <w:qFormat/>
    <w:uiPriority w:val="0"/>
    <w:pPr>
      <w:numPr>
        <w:ilvl w:val="3"/>
        <w:numId w:val="2"/>
      </w:numPr>
    </w:pPr>
  </w:style>
  <w:style w:type="paragraph" w:customStyle="1" w:styleId="67">
    <w:name w:val="其他发布部门"/>
    <w:basedOn w:val="68"/>
    <w:qFormat/>
    <w:uiPriority w:val="0"/>
    <w:pPr>
      <w:spacing w:line="0" w:lineRule="atLeast"/>
    </w:pPr>
    <w:rPr>
      <w:rFonts w:ascii="黑体" w:eastAsia="黑体"/>
      <w:b w:val="0"/>
    </w:rPr>
  </w:style>
  <w:style w:type="paragraph" w:customStyle="1" w:styleId="68">
    <w:name w:val="发布部门"/>
    <w:next w:val="59"/>
    <w:qFormat/>
    <w:uiPriority w:val="0"/>
    <w:pPr>
      <w:jc w:val="center"/>
    </w:pPr>
    <w:rPr>
      <w:rFonts w:ascii="宋体" w:hAnsi="Times New Roman" w:eastAsia="宋体" w:cs="Times New Roman"/>
      <w:b/>
      <w:spacing w:val="20"/>
      <w:w w:val="135"/>
      <w:sz w:val="36"/>
      <w:lang w:val="en-US" w:eastAsia="zh-CN" w:bidi="ar-SA"/>
    </w:rPr>
  </w:style>
  <w:style w:type="paragraph" w:customStyle="1" w:styleId="69">
    <w:name w:val="标准书眉_偶数页"/>
    <w:basedOn w:val="70"/>
    <w:next w:val="1"/>
    <w:qFormat/>
    <w:uiPriority w:val="0"/>
    <w:pPr>
      <w:tabs>
        <w:tab w:val="center" w:pos="4154"/>
        <w:tab w:val="right" w:pos="8306"/>
      </w:tabs>
      <w:jc w:val="left"/>
    </w:pPr>
  </w:style>
  <w:style w:type="paragraph" w:customStyle="1" w:styleId="7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1">
    <w:name w:val="附录四级条标题"/>
    <w:basedOn w:val="72"/>
    <w:next w:val="59"/>
    <w:qFormat/>
    <w:uiPriority w:val="0"/>
    <w:pPr>
      <w:numPr>
        <w:ilvl w:val="5"/>
      </w:numPr>
      <w:outlineLvl w:val="5"/>
    </w:pPr>
  </w:style>
  <w:style w:type="paragraph" w:customStyle="1" w:styleId="72">
    <w:name w:val="附录三级条标题"/>
    <w:basedOn w:val="73"/>
    <w:next w:val="59"/>
    <w:qFormat/>
    <w:uiPriority w:val="0"/>
    <w:pPr>
      <w:numPr>
        <w:ilvl w:val="4"/>
      </w:numPr>
      <w:outlineLvl w:val="4"/>
    </w:pPr>
  </w:style>
  <w:style w:type="paragraph" w:customStyle="1" w:styleId="73">
    <w:name w:val="附录二级条标题"/>
    <w:basedOn w:val="74"/>
    <w:next w:val="59"/>
    <w:qFormat/>
    <w:uiPriority w:val="0"/>
    <w:pPr>
      <w:numPr>
        <w:ilvl w:val="3"/>
      </w:numPr>
      <w:outlineLvl w:val="3"/>
    </w:pPr>
  </w:style>
  <w:style w:type="paragraph" w:customStyle="1" w:styleId="74">
    <w:name w:val="附录一级条标题"/>
    <w:basedOn w:val="75"/>
    <w:next w:val="59"/>
    <w:qFormat/>
    <w:uiPriority w:val="0"/>
    <w:pPr>
      <w:numPr>
        <w:ilvl w:val="2"/>
      </w:numPr>
      <w:autoSpaceDN w:val="0"/>
      <w:spacing w:beforeLines="0" w:afterLines="0"/>
      <w:outlineLvl w:val="2"/>
    </w:pPr>
  </w:style>
  <w:style w:type="paragraph" w:customStyle="1" w:styleId="75">
    <w:name w:val="附录章标题"/>
    <w:next w:val="59"/>
    <w:qFormat/>
    <w:uiPriority w:val="0"/>
    <w:pPr>
      <w:numPr>
        <w:ilvl w:val="1"/>
        <w:numId w:val="3"/>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76">
    <w:name w:val="一级条标题"/>
    <w:basedOn w:val="77"/>
    <w:next w:val="59"/>
    <w:qFormat/>
    <w:uiPriority w:val="0"/>
    <w:pPr>
      <w:spacing w:beforeLines="0" w:afterLines="0"/>
      <w:outlineLvl w:val="2"/>
    </w:pPr>
  </w:style>
  <w:style w:type="paragraph" w:customStyle="1" w:styleId="77">
    <w:name w:val="章标题"/>
    <w:next w:val="59"/>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78">
    <w:name w:val="前言、引言标题"/>
    <w:next w:val="1"/>
    <w:qFormat/>
    <w:uiPriority w:val="0"/>
    <w:pPr>
      <w:numPr>
        <w:ilvl w:val="0"/>
        <w:numId w:val="4"/>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0">
    <w:name w:val="三级条标题"/>
    <w:basedOn w:val="81"/>
    <w:next w:val="59"/>
    <w:qFormat/>
    <w:uiPriority w:val="0"/>
    <w:pPr>
      <w:numPr>
        <w:ilvl w:val="4"/>
        <w:numId w:val="4"/>
      </w:numPr>
      <w:outlineLvl w:val="4"/>
    </w:pPr>
  </w:style>
  <w:style w:type="paragraph" w:customStyle="1" w:styleId="81">
    <w:name w:val="二级条标题"/>
    <w:basedOn w:val="76"/>
    <w:next w:val="59"/>
    <w:qFormat/>
    <w:uiPriority w:val="0"/>
    <w:pPr>
      <w:outlineLvl w:val="3"/>
    </w:pPr>
  </w:style>
  <w:style w:type="paragraph" w:customStyle="1" w:styleId="82">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3">
    <w:name w:val="附录五级条标题"/>
    <w:basedOn w:val="71"/>
    <w:next w:val="59"/>
    <w:qFormat/>
    <w:uiPriority w:val="0"/>
    <w:pPr>
      <w:numPr>
        <w:ilvl w:val="6"/>
      </w:numPr>
      <w:outlineLvl w:val="6"/>
    </w:pPr>
  </w:style>
  <w:style w:type="paragraph" w:customStyle="1" w:styleId="84">
    <w:name w:val="标准书眉一"/>
    <w:qFormat/>
    <w:uiPriority w:val="0"/>
    <w:pPr>
      <w:jc w:val="both"/>
    </w:pPr>
    <w:rPr>
      <w:rFonts w:ascii="Times New Roman" w:hAnsi="Times New Roman" w:eastAsia="宋体" w:cs="Times New Roman"/>
      <w:lang w:val="en-US" w:eastAsia="zh-CN" w:bidi="ar-SA"/>
    </w:rPr>
  </w:style>
  <w:style w:type="paragraph" w:customStyle="1" w:styleId="85">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88">
    <w:name w:val="参考文献、索引标题"/>
    <w:basedOn w:val="78"/>
    <w:next w:val="1"/>
    <w:qFormat/>
    <w:uiPriority w:val="0"/>
    <w:pPr>
      <w:numPr>
        <w:numId w:val="0"/>
      </w:numPr>
      <w:spacing w:after="200"/>
    </w:pPr>
    <w:rPr>
      <w:sz w:val="21"/>
    </w:rPr>
  </w:style>
  <w:style w:type="paragraph" w:customStyle="1" w:styleId="89">
    <w:name w:val="发布日期"/>
    <w:qFormat/>
    <w:uiPriority w:val="0"/>
    <w:rPr>
      <w:rFonts w:ascii="Times New Roman" w:hAnsi="Times New Roman" w:eastAsia="黑体" w:cs="Times New Roman"/>
      <w:sz w:val="28"/>
      <w:lang w:val="en-US" w:eastAsia="zh-CN" w:bidi="ar-SA"/>
    </w:rPr>
  </w:style>
  <w:style w:type="paragraph" w:customStyle="1" w:styleId="90">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91">
    <w:name w:val="实施日期"/>
    <w:basedOn w:val="89"/>
    <w:qFormat/>
    <w:uiPriority w:val="0"/>
    <w:pPr>
      <w:jc w:val="right"/>
    </w:pPr>
  </w:style>
  <w:style w:type="paragraph" w:customStyle="1" w:styleId="92">
    <w:name w:val="封面标准号2"/>
    <w:basedOn w:val="90"/>
    <w:qFormat/>
    <w:uiPriority w:val="0"/>
    <w:pPr>
      <w:adjustRightInd w:val="0"/>
      <w:spacing w:before="357" w:line="280" w:lineRule="exact"/>
    </w:pPr>
  </w:style>
  <w:style w:type="paragraph" w:customStyle="1" w:styleId="93">
    <w:name w:val="封面标准代替信息"/>
    <w:basedOn w:val="92"/>
    <w:qFormat/>
    <w:uiPriority w:val="0"/>
    <w:pPr>
      <w:spacing w:before="57"/>
    </w:pPr>
    <w:rPr>
      <w:rFonts w:ascii="宋体"/>
      <w:sz w:val="21"/>
    </w:rPr>
  </w:style>
  <w:style w:type="paragraph" w:customStyle="1" w:styleId="94">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9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9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98">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99">
    <w:name w:val="封面正文"/>
    <w:qFormat/>
    <w:uiPriority w:val="0"/>
    <w:pPr>
      <w:jc w:val="both"/>
    </w:pPr>
    <w:rPr>
      <w:rFonts w:ascii="Times New Roman" w:hAnsi="Times New Roman" w:eastAsia="宋体" w:cs="Times New Roman"/>
      <w:lang w:val="en-US" w:eastAsia="zh-CN" w:bidi="ar-SA"/>
    </w:rPr>
  </w:style>
  <w:style w:type="paragraph" w:customStyle="1" w:styleId="100">
    <w:name w:val="附录标识"/>
    <w:basedOn w:val="78"/>
    <w:qFormat/>
    <w:uiPriority w:val="0"/>
    <w:pPr>
      <w:numPr>
        <w:ilvl w:val="0"/>
        <w:numId w:val="3"/>
      </w:numPr>
      <w:tabs>
        <w:tab w:val="left" w:pos="6405"/>
      </w:tabs>
      <w:spacing w:after="200"/>
    </w:pPr>
    <w:rPr>
      <w:sz w:val="21"/>
    </w:rPr>
  </w:style>
  <w:style w:type="paragraph" w:customStyle="1" w:styleId="101">
    <w:name w:val="附录表标题"/>
    <w:next w:val="59"/>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02">
    <w:name w:val="附录图标题"/>
    <w:next w:val="59"/>
    <w:qFormat/>
    <w:uiPriority w:val="0"/>
    <w:pPr>
      <w:jc w:val="center"/>
    </w:pPr>
    <w:rPr>
      <w:rFonts w:ascii="黑体" w:hAnsi="Times New Roman" w:eastAsia="黑体" w:cs="Times New Roman"/>
      <w:sz w:val="21"/>
      <w:lang w:val="en-US" w:eastAsia="zh-CN" w:bidi="ar-SA"/>
    </w:rPr>
  </w:style>
  <w:style w:type="paragraph" w:customStyle="1" w:styleId="103">
    <w:name w:val="列项——"/>
    <w:qFormat/>
    <w:uiPriority w:val="0"/>
    <w:pPr>
      <w:widowControl w:val="0"/>
      <w:numPr>
        <w:ilvl w:val="0"/>
        <w:numId w:val="5"/>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04">
    <w:name w:val="列项·"/>
    <w:qFormat/>
    <w:uiPriority w:val="0"/>
    <w:pPr>
      <w:numPr>
        <w:ilvl w:val="0"/>
        <w:numId w:val="6"/>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05">
    <w:name w:val="目次、标准名称标题"/>
    <w:basedOn w:val="78"/>
    <w:next w:val="59"/>
    <w:qFormat/>
    <w:uiPriority w:val="0"/>
    <w:pPr>
      <w:numPr>
        <w:numId w:val="0"/>
      </w:numPr>
      <w:spacing w:line="460" w:lineRule="exact"/>
    </w:pPr>
  </w:style>
  <w:style w:type="paragraph" w:customStyle="1" w:styleId="10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07">
    <w:name w:val="三级无标题条"/>
    <w:basedOn w:val="1"/>
    <w:qFormat/>
    <w:uiPriority w:val="0"/>
    <w:pPr>
      <w:numPr>
        <w:ilvl w:val="4"/>
        <w:numId w:val="2"/>
      </w:numPr>
    </w:pPr>
  </w:style>
  <w:style w:type="paragraph" w:customStyle="1" w:styleId="108">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109">
    <w:name w:val="四级条标题"/>
    <w:basedOn w:val="80"/>
    <w:next w:val="59"/>
    <w:qFormat/>
    <w:uiPriority w:val="0"/>
    <w:pPr>
      <w:numPr>
        <w:ilvl w:val="5"/>
      </w:numPr>
      <w:outlineLvl w:val="5"/>
    </w:pPr>
  </w:style>
  <w:style w:type="paragraph" w:customStyle="1" w:styleId="110">
    <w:name w:val="四级无标题条"/>
    <w:basedOn w:val="1"/>
    <w:qFormat/>
    <w:uiPriority w:val="0"/>
    <w:pPr>
      <w:numPr>
        <w:ilvl w:val="5"/>
        <w:numId w:val="2"/>
      </w:numPr>
    </w:pPr>
  </w:style>
  <w:style w:type="paragraph" w:customStyle="1" w:styleId="111">
    <w:name w:val="条文脚注"/>
    <w:basedOn w:val="31"/>
    <w:qFormat/>
    <w:uiPriority w:val="0"/>
    <w:pPr>
      <w:ind w:left="780" w:leftChars="200" w:hanging="360" w:hangingChars="200"/>
      <w:jc w:val="both"/>
    </w:pPr>
    <w:rPr>
      <w:rFonts w:ascii="宋体"/>
    </w:rPr>
  </w:style>
  <w:style w:type="paragraph" w:customStyle="1" w:styleId="112">
    <w:name w:val="图表脚注"/>
    <w:next w:val="59"/>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13">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14">
    <w:name w:val="无标题条"/>
    <w:next w:val="59"/>
    <w:qFormat/>
    <w:uiPriority w:val="0"/>
    <w:pPr>
      <w:jc w:val="both"/>
    </w:pPr>
    <w:rPr>
      <w:rFonts w:ascii="Times New Roman" w:hAnsi="Times New Roman" w:eastAsia="宋体" w:cs="Times New Roman"/>
      <w:sz w:val="21"/>
      <w:lang w:val="en-US" w:eastAsia="zh-CN" w:bidi="ar-SA"/>
    </w:rPr>
  </w:style>
  <w:style w:type="paragraph" w:customStyle="1" w:styleId="115">
    <w:name w:val="五级条标题"/>
    <w:basedOn w:val="109"/>
    <w:next w:val="59"/>
    <w:qFormat/>
    <w:uiPriority w:val="0"/>
    <w:pPr>
      <w:numPr>
        <w:ilvl w:val="6"/>
      </w:numPr>
      <w:outlineLvl w:val="6"/>
    </w:pPr>
  </w:style>
  <w:style w:type="paragraph" w:customStyle="1" w:styleId="116">
    <w:name w:val="五级无标题条"/>
    <w:basedOn w:val="1"/>
    <w:qFormat/>
    <w:uiPriority w:val="0"/>
    <w:pPr>
      <w:numPr>
        <w:ilvl w:val="6"/>
        <w:numId w:val="2"/>
      </w:numPr>
    </w:pPr>
  </w:style>
  <w:style w:type="paragraph" w:customStyle="1" w:styleId="117">
    <w:name w:val="一级无标题条"/>
    <w:basedOn w:val="1"/>
    <w:qFormat/>
    <w:uiPriority w:val="0"/>
  </w:style>
  <w:style w:type="paragraph" w:customStyle="1" w:styleId="118">
    <w:name w:val="正文表标题"/>
    <w:next w:val="59"/>
    <w:qFormat/>
    <w:uiPriority w:val="0"/>
    <w:pPr>
      <w:numPr>
        <w:ilvl w:val="0"/>
        <w:numId w:val="7"/>
      </w:numPr>
      <w:jc w:val="center"/>
    </w:pPr>
    <w:rPr>
      <w:rFonts w:ascii="黑体" w:hAnsi="Times New Roman" w:eastAsia="黑体" w:cs="Times New Roman"/>
      <w:sz w:val="21"/>
      <w:lang w:val="en-US" w:eastAsia="zh-CN" w:bidi="ar-SA"/>
    </w:rPr>
  </w:style>
  <w:style w:type="paragraph" w:customStyle="1" w:styleId="119">
    <w:name w:val="正文图标题"/>
    <w:next w:val="59"/>
    <w:qFormat/>
    <w:uiPriority w:val="0"/>
    <w:pPr>
      <w:numPr>
        <w:ilvl w:val="0"/>
        <w:numId w:val="8"/>
      </w:numPr>
      <w:jc w:val="center"/>
    </w:pPr>
    <w:rPr>
      <w:rFonts w:ascii="黑体" w:hAnsi="Times New Roman" w:eastAsia="黑体" w:cs="Times New Roman"/>
      <w:sz w:val="21"/>
      <w:lang w:val="en-US" w:eastAsia="zh-CN" w:bidi="ar-SA"/>
    </w:rPr>
  </w:style>
  <w:style w:type="paragraph" w:customStyle="1" w:styleId="120">
    <w:name w:val="注："/>
    <w:next w:val="59"/>
    <w:qFormat/>
    <w:uiPriority w:val="0"/>
    <w:pPr>
      <w:widowControl w:val="0"/>
      <w:numPr>
        <w:ilvl w:val="0"/>
        <w:numId w:val="9"/>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21">
    <w:name w:val="注×："/>
    <w:qFormat/>
    <w:uiPriority w:val="0"/>
    <w:pPr>
      <w:widowControl w:val="0"/>
      <w:numPr>
        <w:ilvl w:val="0"/>
        <w:numId w:val="10"/>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2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23">
    <w:name w:val="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24">
    <w:name w:val="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25">
    <w:name w:val="_Style 123"/>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6">
    <w:name w:val="修订1"/>
    <w:hidden/>
    <w:semiHidden/>
    <w:qFormat/>
    <w:uiPriority w:val="99"/>
    <w:rPr>
      <w:rFonts w:ascii="Times New Roman" w:hAnsi="Times New Roman" w:eastAsia="宋体" w:cs="Times New Roman"/>
      <w:kern w:val="2"/>
      <w:sz w:val="21"/>
      <w:lang w:val="en-US" w:eastAsia="zh-CN" w:bidi="ar-SA"/>
    </w:rPr>
  </w:style>
  <w:style w:type="paragraph" w:customStyle="1" w:styleId="127">
    <w:name w:val="列出段落1"/>
    <w:basedOn w:val="1"/>
    <w:qFormat/>
    <w:uiPriority w:val="0"/>
    <w:pPr>
      <w:ind w:firstLine="420" w:firstLineChars="200"/>
    </w:pPr>
    <w:rPr>
      <w:rFonts w:ascii="Calibri" w:hAnsi="Calibri"/>
      <w:szCs w:val="22"/>
    </w:rPr>
  </w:style>
  <w:style w:type="character" w:customStyle="1" w:styleId="128">
    <w:name w:val="批注文字 字符"/>
    <w:basedOn w:val="40"/>
    <w:link w:val="21"/>
    <w:semiHidden/>
    <w:qFormat/>
    <w:uiPriority w:val="0"/>
    <w:rPr>
      <w:kern w:val="2"/>
      <w:sz w:val="21"/>
    </w:rPr>
  </w:style>
  <w:style w:type="paragraph" w:customStyle="1" w:styleId="129">
    <w:name w:val="列出段落2"/>
    <w:basedOn w:val="1"/>
    <w:qFormat/>
    <w:uiPriority w:val="34"/>
    <w:pPr>
      <w:ind w:firstLine="420" w:firstLineChars="200"/>
    </w:pPr>
  </w:style>
  <w:style w:type="paragraph" w:customStyle="1" w:styleId="130">
    <w:name w:val="标准文件_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c9c4665-c538-44ee-ac7f-d9d8aa500374}"/>
        <w:style w:val=""/>
        <w:category>
          <w:name w:val="常规"/>
          <w:gallery w:val="placeholder"/>
        </w:category>
        <w:types>
          <w:type w:val="bbPlcHdr"/>
        </w:types>
        <w:behaviors>
          <w:behavior w:val="content"/>
        </w:behaviors>
        <w:description w:val=""/>
        <w:guid w:val="{3C9C4665-C538-44EE-AC7F-D9D8AA500374}"/>
      </w:docPartPr>
      <w:docPartBody>
        <w:p w14:paraId="5A335A2C">
          <w:r>
            <w:rPr>
              <w:rStyle w:val="4"/>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2"/>
  </w:compat>
  <w:rsids>
    <w:rsidRoot w:val="004563E2"/>
    <w:rsid w:val="002E00BB"/>
    <w:rsid w:val="004563E2"/>
    <w:rsid w:val="007E01C5"/>
    <w:rsid w:val="008664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中国标准研究中心</Company>
  <Pages>7</Pages>
  <Words>3721</Words>
  <Characters>4109</Characters>
  <Lines>19</Lines>
  <Paragraphs>5</Paragraphs>
  <TotalTime>26</TotalTime>
  <ScaleCrop>false</ScaleCrop>
  <LinksUpToDate>false</LinksUpToDate>
  <CharactersWithSpaces>4230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2018-06-07T08:29:00Z</dcterms:created>
  <dc:creator>USER</dc:creator>
  <cp:lastModifiedBy>葛红</cp:lastModifiedBy>
  <cp:lastPrinted>2015-09-09T05:55:00Z</cp:lastPrinted>
  <dcterms:modified xsi:type="dcterms:W3CDTF">2024-09-02T08:53:09Z</dcterms:modified>
  <dc:title>小蔗螟检疫鉴定方法</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7CB57CD9CA544445B2B54AADDD646613</vt:lpwstr>
  </property>
</Properties>
</file>