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utoSpaceDE w:val="0"/>
        <w:autoSpaceDN w:val="0"/>
        <w:adjustRightInd w:val="0"/>
        <w:jc w:val="center"/>
        <w:rPr>
          <w:rFonts w:ascii="方正小标宋简体" w:eastAsia="方正小标宋简体"/>
          <w:sz w:val="32"/>
          <w:szCs w:val="32"/>
        </w:rPr>
      </w:pPr>
      <w:r>
        <w:rPr>
          <w:rFonts w:hint="eastAsia" w:ascii="方正小标宋简体" w:eastAsia="方正小标宋简体"/>
          <w:sz w:val="32"/>
          <w:szCs w:val="32"/>
        </w:rPr>
        <w:t>认证认可行业标准草案编制说明</w:t>
      </w:r>
    </w:p>
    <w:tbl>
      <w:tblPr>
        <w:tblStyle w:val="38"/>
        <w:tblpPr w:leftFromText="180" w:rightFromText="180" w:vertAnchor="text" w:horzAnchor="margin" w:tblpXSpec="center" w:tblpY="169"/>
        <w:tblW w:w="9384"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1794"/>
        <w:gridCol w:w="1384"/>
        <w:gridCol w:w="1155"/>
        <w:gridCol w:w="2105"/>
        <w:gridCol w:w="1128"/>
        <w:gridCol w:w="1818"/>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168" w:hRule="atLeast"/>
        </w:trPr>
        <w:tc>
          <w:tcPr>
            <w:tcW w:w="9384" w:type="dxa"/>
            <w:gridSpan w:val="6"/>
            <w:tcBorders>
              <w:top w:val="nil"/>
              <w:left w:val="nil"/>
              <w:bottom w:val="nil"/>
              <w:right w:val="nil"/>
            </w:tcBorders>
            <w:vAlign w:val="center"/>
          </w:tcPr>
          <w:p>
            <w:pPr>
              <w:rPr>
                <w:rFonts w:ascii="宋体" w:hAnsi="宋体"/>
                <w:b/>
                <w:color w:val="000000"/>
                <w:szCs w:val="21"/>
              </w:rPr>
            </w:pPr>
            <w:r>
              <w:rPr>
                <w:rFonts w:hint="eastAsia" w:ascii="宋体" w:hAnsi="宋体"/>
                <w:b/>
                <w:color w:val="000000"/>
                <w:szCs w:val="21"/>
              </w:rPr>
              <w:t>1、基本信息</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68" w:hRule="atLeast"/>
        </w:trPr>
        <w:tc>
          <w:tcPr>
            <w:tcW w:w="1794" w:type="dxa"/>
            <w:vMerge w:val="restart"/>
            <w:tcBorders>
              <w:top w:val="single" w:color="auto" w:sz="4" w:space="0"/>
              <w:left w:val="single" w:color="auto" w:sz="4" w:space="0"/>
              <w:bottom w:val="single" w:color="auto" w:sz="4" w:space="0"/>
              <w:right w:val="single" w:color="auto" w:sz="4" w:space="0"/>
            </w:tcBorders>
            <w:vAlign w:val="center"/>
          </w:tcPr>
          <w:p>
            <w:pPr>
              <w:ind w:left="141" w:leftChars="67" w:right="176" w:rightChars="84"/>
              <w:rPr>
                <w:rFonts w:ascii="宋体" w:hAnsi="宋体"/>
                <w:color w:val="000000"/>
                <w:szCs w:val="21"/>
              </w:rPr>
            </w:pPr>
            <w:r>
              <w:rPr>
                <w:rFonts w:hint="eastAsia" w:ascii="宋体" w:hAnsi="宋体"/>
                <w:color w:val="000000"/>
                <w:szCs w:val="21"/>
              </w:rPr>
              <w:t>1.1 标准草案名称</w:t>
            </w:r>
          </w:p>
        </w:tc>
        <w:tc>
          <w:tcPr>
            <w:tcW w:w="138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000000"/>
                <w:szCs w:val="21"/>
              </w:rPr>
            </w:pPr>
            <w:r>
              <w:rPr>
                <w:rFonts w:hint="eastAsia" w:ascii="宋体" w:hAnsi="宋体"/>
                <w:color w:val="000000"/>
                <w:szCs w:val="21"/>
              </w:rPr>
              <w:t>中文</w:t>
            </w:r>
          </w:p>
        </w:tc>
        <w:tc>
          <w:tcPr>
            <w:tcW w:w="6206" w:type="dxa"/>
            <w:gridSpan w:val="4"/>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000000"/>
                <w:szCs w:val="21"/>
              </w:rPr>
            </w:pPr>
            <w:r>
              <w:rPr>
                <w:rFonts w:hint="eastAsia" w:ascii="宋体" w:hAnsi="宋体" w:cs="宋体"/>
                <w:color w:val="000000"/>
              </w:rPr>
              <w:t>检验检测机构监督管理数据规范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48" w:hRule="atLeast"/>
        </w:trPr>
        <w:tc>
          <w:tcPr>
            <w:tcW w:w="1794" w:type="dxa"/>
            <w:vMerge w:val="continue"/>
            <w:tcBorders>
              <w:top w:val="single" w:color="auto" w:sz="4" w:space="0"/>
              <w:left w:val="single" w:color="auto" w:sz="4" w:space="0"/>
              <w:bottom w:val="single" w:color="auto" w:sz="4" w:space="0"/>
              <w:right w:val="single" w:color="auto" w:sz="4" w:space="0"/>
            </w:tcBorders>
            <w:vAlign w:val="center"/>
          </w:tcPr>
          <w:p>
            <w:pPr>
              <w:ind w:left="141" w:leftChars="67" w:right="176" w:rightChars="84"/>
              <w:jc w:val="center"/>
              <w:rPr>
                <w:rFonts w:ascii="宋体" w:hAnsi="宋体"/>
                <w:color w:val="000000"/>
                <w:szCs w:val="21"/>
              </w:rPr>
            </w:pPr>
          </w:p>
        </w:tc>
        <w:tc>
          <w:tcPr>
            <w:tcW w:w="1384" w:type="dxa"/>
            <w:tcBorders>
              <w:top w:val="single" w:color="auto" w:sz="4" w:space="0"/>
              <w:left w:val="single" w:color="auto" w:sz="4" w:space="0"/>
              <w:bottom w:val="single" w:color="auto" w:sz="6" w:space="0"/>
              <w:right w:val="single" w:color="auto" w:sz="4" w:space="0"/>
            </w:tcBorders>
            <w:vAlign w:val="center"/>
          </w:tcPr>
          <w:p>
            <w:pPr>
              <w:jc w:val="center"/>
              <w:rPr>
                <w:rFonts w:ascii="宋体" w:hAnsi="宋体"/>
                <w:color w:val="000000"/>
                <w:szCs w:val="21"/>
              </w:rPr>
            </w:pPr>
            <w:r>
              <w:rPr>
                <w:rFonts w:hint="eastAsia" w:ascii="宋体" w:hAnsi="宋体"/>
                <w:color w:val="000000"/>
                <w:szCs w:val="21"/>
              </w:rPr>
              <w:t>英文</w:t>
            </w:r>
          </w:p>
        </w:tc>
        <w:tc>
          <w:tcPr>
            <w:tcW w:w="6206" w:type="dxa"/>
            <w:gridSpan w:val="4"/>
            <w:tcBorders>
              <w:top w:val="single" w:color="auto" w:sz="4" w:space="0"/>
              <w:left w:val="single" w:color="auto" w:sz="4" w:space="0"/>
              <w:bottom w:val="single" w:color="auto" w:sz="4" w:space="0"/>
            </w:tcBorders>
            <w:vAlign w:val="center"/>
          </w:tcPr>
          <w:p>
            <w:pPr>
              <w:rPr>
                <w:rFonts w:ascii="宋体" w:hAnsi="宋体"/>
                <w:color w:val="000000"/>
                <w:szCs w:val="21"/>
              </w:rPr>
            </w:pPr>
            <w:r>
              <w:rPr>
                <w:rFonts w:ascii="宋体" w:hAnsi="宋体" w:cs="宋体"/>
                <w:color w:val="000000"/>
              </w:rPr>
              <w:t>Data specification for supervision and administration of inspection body and laboratory</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603" w:hRule="atLeast"/>
        </w:trPr>
        <w:tc>
          <w:tcPr>
            <w:tcW w:w="1794" w:type="dxa"/>
            <w:vMerge w:val="restart"/>
            <w:tcBorders>
              <w:right w:val="single" w:color="auto" w:sz="4" w:space="0"/>
            </w:tcBorders>
            <w:vAlign w:val="center"/>
          </w:tcPr>
          <w:p>
            <w:pPr>
              <w:ind w:left="141" w:leftChars="67" w:right="176" w:rightChars="84"/>
              <w:rPr>
                <w:rFonts w:ascii="宋体" w:hAnsi="宋体"/>
                <w:color w:val="000000"/>
                <w:szCs w:val="21"/>
              </w:rPr>
            </w:pPr>
            <w:r>
              <w:rPr>
                <w:rFonts w:hint="eastAsia" w:ascii="宋体" w:hAnsi="宋体"/>
                <w:color w:val="000000"/>
                <w:szCs w:val="21"/>
              </w:rPr>
              <w:t>1.2 与国际标准和国外先进标准一致性程度情况</w:t>
            </w:r>
          </w:p>
        </w:tc>
        <w:tc>
          <w:tcPr>
            <w:tcW w:w="1384" w:type="dxa"/>
            <w:vMerge w:val="restart"/>
            <w:tcBorders>
              <w:left w:val="single" w:color="auto" w:sz="4" w:space="0"/>
              <w:right w:val="single" w:color="auto" w:sz="4" w:space="0"/>
            </w:tcBorders>
            <w:vAlign w:val="center"/>
          </w:tcPr>
          <w:p>
            <w:pPr>
              <w:rPr>
                <w:rFonts w:ascii="宋体" w:hAnsi="宋体"/>
                <w:color w:val="000000"/>
                <w:szCs w:val="21"/>
              </w:rPr>
            </w:pPr>
            <w:r>
              <w:rPr>
                <w:rFonts w:hint="eastAsia" w:ascii="宋体" w:hAnsi="宋体"/>
                <w:color w:val="000000"/>
                <w:szCs w:val="21"/>
              </w:rPr>
              <w:t>□等同采用</w:t>
            </w:r>
          </w:p>
          <w:p>
            <w:pPr>
              <w:rPr>
                <w:rFonts w:ascii="宋体" w:hAnsi="宋体"/>
                <w:color w:val="000000"/>
                <w:szCs w:val="21"/>
              </w:rPr>
            </w:pPr>
            <w:r>
              <w:rPr>
                <w:rFonts w:hint="eastAsia" w:ascii="宋体" w:hAnsi="宋体"/>
                <w:color w:val="000000"/>
                <w:szCs w:val="21"/>
              </w:rPr>
              <w:t>□修改采用</w:t>
            </w:r>
          </w:p>
          <w:p>
            <w:pPr>
              <w:rPr>
                <w:rFonts w:ascii="宋体" w:hAnsi="宋体"/>
                <w:color w:val="000000"/>
                <w:szCs w:val="21"/>
              </w:rPr>
            </w:pPr>
            <w:r>
              <w:rPr>
                <w:rFonts w:hint="eastAsia" w:ascii="宋体" w:hAnsi="宋体"/>
                <w:color w:val="000000"/>
                <w:szCs w:val="21"/>
              </w:rPr>
              <w:t>□非等效采用</w:t>
            </w:r>
          </w:p>
          <w:p>
            <w:pPr>
              <w:rPr>
                <w:rFonts w:ascii="宋体" w:hAnsi="宋体"/>
                <w:color w:val="000000"/>
                <w:szCs w:val="21"/>
              </w:rPr>
            </w:pPr>
            <w:r>
              <w:rPr>
                <w:rFonts w:hint="eastAsia" w:ascii="宋体" w:hAnsi="宋体"/>
                <w:color w:val="000000"/>
                <w:szCs w:val="21"/>
              </w:rPr>
              <w:t>☑未采用</w:t>
            </w:r>
          </w:p>
        </w:tc>
        <w:tc>
          <w:tcPr>
            <w:tcW w:w="1155" w:type="dxa"/>
            <w:tcBorders>
              <w:left w:val="single" w:color="auto" w:sz="4" w:space="0"/>
              <w:bottom w:val="single" w:color="auto" w:sz="4" w:space="0"/>
              <w:right w:val="single" w:color="auto" w:sz="4" w:space="0"/>
            </w:tcBorders>
            <w:vAlign w:val="center"/>
          </w:tcPr>
          <w:p>
            <w:pPr>
              <w:jc w:val="center"/>
              <w:rPr>
                <w:rFonts w:ascii="宋体" w:hAnsi="宋体"/>
                <w:color w:val="000000"/>
                <w:szCs w:val="21"/>
              </w:rPr>
            </w:pPr>
            <w:r>
              <w:rPr>
                <w:rFonts w:hint="eastAsia" w:ascii="宋体" w:hAnsi="宋体"/>
                <w:color w:val="000000"/>
                <w:szCs w:val="21"/>
              </w:rPr>
              <w:t>标准编号</w:t>
            </w:r>
          </w:p>
        </w:tc>
        <w:tc>
          <w:tcPr>
            <w:tcW w:w="5051" w:type="dxa"/>
            <w:gridSpan w:val="3"/>
            <w:tcBorders>
              <w:left w:val="single" w:color="auto" w:sz="4" w:space="0"/>
              <w:bottom w:val="single" w:color="auto" w:sz="4" w:space="0"/>
            </w:tcBorders>
            <w:vAlign w:val="center"/>
          </w:tcPr>
          <w:p>
            <w:pPr>
              <w:rPr>
                <w:rFonts w:ascii="宋体" w:hAnsi="宋体"/>
                <w:color w:val="000000"/>
                <w:szCs w:val="21"/>
              </w:rPr>
            </w:pPr>
            <w:r>
              <w:rPr>
                <w:rFonts w:hint="eastAsia" w:ascii="宋体" w:hAnsi="宋体"/>
                <w:color w:val="000000"/>
                <w:szCs w:val="21"/>
              </w:rPr>
              <w:t>/</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659" w:hRule="atLeast"/>
        </w:trPr>
        <w:tc>
          <w:tcPr>
            <w:tcW w:w="1794" w:type="dxa"/>
            <w:vMerge w:val="continue"/>
            <w:tcBorders>
              <w:right w:val="single" w:color="auto" w:sz="4" w:space="0"/>
            </w:tcBorders>
            <w:vAlign w:val="center"/>
          </w:tcPr>
          <w:p>
            <w:pPr>
              <w:ind w:left="141" w:leftChars="67" w:right="176" w:rightChars="84"/>
              <w:jc w:val="center"/>
              <w:rPr>
                <w:rFonts w:ascii="宋体" w:hAnsi="宋体"/>
                <w:color w:val="000000"/>
                <w:szCs w:val="21"/>
              </w:rPr>
            </w:pPr>
          </w:p>
        </w:tc>
        <w:tc>
          <w:tcPr>
            <w:tcW w:w="1384" w:type="dxa"/>
            <w:vMerge w:val="continue"/>
            <w:tcBorders>
              <w:left w:val="single" w:color="auto" w:sz="4" w:space="0"/>
              <w:right w:val="single" w:color="auto" w:sz="4" w:space="0"/>
            </w:tcBorders>
            <w:vAlign w:val="center"/>
          </w:tcPr>
          <w:p>
            <w:pPr>
              <w:jc w:val="center"/>
              <w:rPr>
                <w:rFonts w:ascii="宋体" w:hAnsi="宋体"/>
                <w:color w:val="000000"/>
                <w:szCs w:val="21"/>
              </w:rPr>
            </w:pPr>
          </w:p>
        </w:tc>
        <w:tc>
          <w:tcPr>
            <w:tcW w:w="115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000000"/>
                <w:szCs w:val="21"/>
              </w:rPr>
            </w:pPr>
            <w:r>
              <w:rPr>
                <w:rFonts w:hint="eastAsia" w:ascii="宋体" w:hAnsi="宋体"/>
                <w:color w:val="000000"/>
                <w:szCs w:val="21"/>
              </w:rPr>
              <w:t>英文名称</w:t>
            </w:r>
          </w:p>
        </w:tc>
        <w:tc>
          <w:tcPr>
            <w:tcW w:w="5051" w:type="dxa"/>
            <w:gridSpan w:val="3"/>
            <w:tcBorders>
              <w:top w:val="single" w:color="auto" w:sz="4" w:space="0"/>
              <w:left w:val="single" w:color="auto" w:sz="4" w:space="0"/>
              <w:bottom w:val="single" w:color="auto" w:sz="4" w:space="0"/>
            </w:tcBorders>
            <w:vAlign w:val="center"/>
          </w:tcPr>
          <w:p>
            <w:pPr>
              <w:rPr>
                <w:rFonts w:ascii="宋体" w:hAnsi="宋体"/>
                <w:color w:val="000000"/>
                <w:szCs w:val="21"/>
              </w:rPr>
            </w:pPr>
            <w:r>
              <w:rPr>
                <w:rFonts w:hint="eastAsia" w:ascii="宋体" w:hAnsi="宋体"/>
                <w:color w:val="000000"/>
                <w:szCs w:val="21"/>
              </w:rPr>
              <w:t>/</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604" w:hRule="atLeast"/>
        </w:trPr>
        <w:tc>
          <w:tcPr>
            <w:tcW w:w="1794" w:type="dxa"/>
            <w:vMerge w:val="continue"/>
            <w:tcBorders>
              <w:right w:val="single" w:color="auto" w:sz="4" w:space="0"/>
            </w:tcBorders>
            <w:vAlign w:val="center"/>
          </w:tcPr>
          <w:p>
            <w:pPr>
              <w:ind w:left="141" w:leftChars="67" w:right="176" w:rightChars="84"/>
              <w:jc w:val="center"/>
              <w:rPr>
                <w:rFonts w:ascii="宋体" w:hAnsi="宋体"/>
                <w:color w:val="000000"/>
                <w:szCs w:val="21"/>
              </w:rPr>
            </w:pPr>
          </w:p>
        </w:tc>
        <w:tc>
          <w:tcPr>
            <w:tcW w:w="1384" w:type="dxa"/>
            <w:vMerge w:val="continue"/>
            <w:tcBorders>
              <w:left w:val="single" w:color="auto" w:sz="4" w:space="0"/>
              <w:bottom w:val="single" w:color="auto" w:sz="4" w:space="0"/>
              <w:right w:val="single" w:color="auto" w:sz="4" w:space="0"/>
            </w:tcBorders>
            <w:vAlign w:val="center"/>
          </w:tcPr>
          <w:p>
            <w:pPr>
              <w:jc w:val="center"/>
              <w:rPr>
                <w:rFonts w:ascii="宋体" w:hAnsi="宋体"/>
                <w:color w:val="000000"/>
                <w:szCs w:val="21"/>
              </w:rPr>
            </w:pPr>
          </w:p>
        </w:tc>
        <w:tc>
          <w:tcPr>
            <w:tcW w:w="115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000000"/>
                <w:szCs w:val="21"/>
              </w:rPr>
            </w:pPr>
            <w:r>
              <w:rPr>
                <w:rFonts w:hint="eastAsia" w:ascii="宋体" w:hAnsi="宋体"/>
                <w:color w:val="000000"/>
                <w:szCs w:val="21"/>
              </w:rPr>
              <w:t>中文名称</w:t>
            </w:r>
          </w:p>
        </w:tc>
        <w:tc>
          <w:tcPr>
            <w:tcW w:w="5051" w:type="dxa"/>
            <w:gridSpan w:val="3"/>
            <w:tcBorders>
              <w:top w:val="single" w:color="auto" w:sz="4" w:space="0"/>
              <w:left w:val="single" w:color="auto" w:sz="4" w:space="0"/>
              <w:bottom w:val="single" w:color="auto" w:sz="4" w:space="0"/>
            </w:tcBorders>
            <w:vAlign w:val="center"/>
          </w:tcPr>
          <w:p>
            <w:pPr>
              <w:rPr>
                <w:rFonts w:ascii="宋体" w:hAnsi="宋体"/>
                <w:color w:val="000000"/>
                <w:szCs w:val="21"/>
              </w:rPr>
            </w:pPr>
            <w:r>
              <w:rPr>
                <w:rFonts w:hint="eastAsia" w:ascii="宋体" w:hAnsi="宋体"/>
                <w:color w:val="000000"/>
                <w:szCs w:val="21"/>
              </w:rPr>
              <w:t>/</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atLeast"/>
        </w:trPr>
        <w:tc>
          <w:tcPr>
            <w:tcW w:w="1794" w:type="dxa"/>
            <w:tcBorders>
              <w:right w:val="single" w:color="auto" w:sz="4" w:space="0"/>
            </w:tcBorders>
            <w:vAlign w:val="center"/>
          </w:tcPr>
          <w:p>
            <w:pPr>
              <w:ind w:left="141" w:leftChars="67" w:right="176" w:rightChars="84"/>
              <w:rPr>
                <w:rFonts w:ascii="宋体" w:hAnsi="宋体"/>
                <w:color w:val="000000"/>
                <w:szCs w:val="21"/>
              </w:rPr>
            </w:pPr>
            <w:r>
              <w:rPr>
                <w:rFonts w:hint="eastAsia" w:ascii="宋体" w:hAnsi="宋体"/>
                <w:color w:val="000000"/>
                <w:szCs w:val="21"/>
              </w:rPr>
              <w:t>1.3 任务来源</w:t>
            </w:r>
          </w:p>
        </w:tc>
        <w:tc>
          <w:tcPr>
            <w:tcW w:w="1384" w:type="dxa"/>
            <w:tcBorders>
              <w:left w:val="single" w:color="auto" w:sz="4" w:space="0"/>
              <w:bottom w:val="single" w:color="auto" w:sz="4" w:space="0"/>
              <w:right w:val="single" w:color="auto" w:sz="4" w:space="0"/>
            </w:tcBorders>
            <w:vAlign w:val="center"/>
          </w:tcPr>
          <w:p>
            <w:pPr>
              <w:jc w:val="center"/>
              <w:rPr>
                <w:rFonts w:ascii="宋体" w:hAnsi="宋体"/>
                <w:color w:val="000000"/>
                <w:szCs w:val="21"/>
              </w:rPr>
            </w:pPr>
            <w:r>
              <w:rPr>
                <w:rFonts w:hint="eastAsia" w:ascii="宋体" w:hAnsi="宋体"/>
                <w:color w:val="000000"/>
                <w:szCs w:val="21"/>
              </w:rPr>
              <w:t>批准立项的文件名称和文件号</w:t>
            </w:r>
          </w:p>
        </w:tc>
        <w:tc>
          <w:tcPr>
            <w:tcW w:w="3260" w:type="dxa"/>
            <w:gridSpan w:val="2"/>
            <w:tcBorders>
              <w:left w:val="single" w:color="auto" w:sz="4" w:space="0"/>
              <w:bottom w:val="single" w:color="auto" w:sz="4" w:space="0"/>
              <w:right w:val="single" w:color="auto" w:sz="4" w:space="0"/>
            </w:tcBorders>
            <w:vAlign w:val="center"/>
          </w:tcPr>
          <w:p>
            <w:pPr>
              <w:rPr>
                <w:rFonts w:ascii="宋体" w:hAnsi="宋体"/>
                <w:color w:val="000000"/>
                <w:szCs w:val="21"/>
              </w:rPr>
            </w:pPr>
            <w:r>
              <w:rPr>
                <w:rFonts w:hint="eastAsia" w:ascii="宋体" w:hAnsi="宋体"/>
                <w:color w:val="000000"/>
                <w:szCs w:val="21"/>
              </w:rPr>
              <w:t>认监委关于下达《检验检测机构监督管理数据规范》等18项认证认可行业标准制修订计划项目的通知 国认监发〔2026〕6号</w:t>
            </w:r>
          </w:p>
        </w:tc>
        <w:tc>
          <w:tcPr>
            <w:tcW w:w="1128" w:type="dxa"/>
            <w:tcBorders>
              <w:left w:val="single" w:color="auto" w:sz="4" w:space="0"/>
              <w:bottom w:val="single" w:color="auto" w:sz="4" w:space="0"/>
              <w:right w:val="single" w:color="auto" w:sz="4" w:space="0"/>
            </w:tcBorders>
            <w:vAlign w:val="center"/>
          </w:tcPr>
          <w:p>
            <w:pPr>
              <w:jc w:val="center"/>
              <w:rPr>
                <w:rFonts w:ascii="宋体" w:hAnsi="宋体"/>
                <w:color w:val="000000"/>
                <w:szCs w:val="21"/>
              </w:rPr>
            </w:pPr>
            <w:r>
              <w:rPr>
                <w:rFonts w:hint="eastAsia" w:ascii="宋体" w:hAnsi="宋体"/>
                <w:color w:val="000000"/>
                <w:szCs w:val="21"/>
              </w:rPr>
              <w:t>计划编号</w:t>
            </w:r>
          </w:p>
        </w:tc>
        <w:tc>
          <w:tcPr>
            <w:tcW w:w="1818" w:type="dxa"/>
            <w:tcBorders>
              <w:left w:val="single" w:color="auto" w:sz="4" w:space="0"/>
              <w:bottom w:val="single" w:color="auto" w:sz="4" w:space="0"/>
            </w:tcBorders>
            <w:vAlign w:val="center"/>
          </w:tcPr>
          <w:p>
            <w:pPr>
              <w:jc w:val="center"/>
              <w:rPr>
                <w:rFonts w:ascii="宋体" w:hAnsi="宋体"/>
                <w:color w:val="000000"/>
                <w:szCs w:val="21"/>
              </w:rPr>
            </w:pPr>
            <w:r>
              <w:rPr>
                <w:rFonts w:ascii="宋体" w:hAnsi="宋体" w:cs="宋体"/>
                <w:color w:val="000000"/>
              </w:rPr>
              <w:t>2026RB002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690" w:hRule="atLeast"/>
        </w:trPr>
        <w:tc>
          <w:tcPr>
            <w:tcW w:w="1794" w:type="dxa"/>
            <w:vAlign w:val="center"/>
          </w:tcPr>
          <w:p>
            <w:pPr>
              <w:spacing w:line="360" w:lineRule="exact"/>
              <w:ind w:left="141" w:leftChars="67" w:right="176" w:rightChars="84"/>
              <w:rPr>
                <w:rFonts w:ascii="宋体" w:hAnsi="宋体"/>
                <w:color w:val="000000"/>
                <w:szCs w:val="21"/>
              </w:rPr>
            </w:pPr>
            <w:r>
              <w:rPr>
                <w:rFonts w:hint="eastAsia" w:ascii="宋体" w:hAnsi="宋体"/>
                <w:color w:val="000000"/>
                <w:szCs w:val="21"/>
              </w:rPr>
              <w:t>1.4制（修）订</w:t>
            </w:r>
          </w:p>
        </w:tc>
        <w:tc>
          <w:tcPr>
            <w:tcW w:w="7590" w:type="dxa"/>
            <w:gridSpan w:val="5"/>
            <w:vAlign w:val="center"/>
          </w:tcPr>
          <w:p>
            <w:pPr>
              <w:jc w:val="left"/>
              <w:rPr>
                <w:rFonts w:ascii="宋体" w:hAnsi="宋体"/>
                <w:snapToGrid w:val="0"/>
                <w:color w:val="000000"/>
                <w:kern w:val="0"/>
                <w:szCs w:val="21"/>
              </w:rPr>
            </w:pPr>
            <w:r>
              <w:rPr>
                <w:rFonts w:hint="eastAsia" w:ascii="宋体" w:hAnsi="宋体"/>
                <w:snapToGrid w:val="0"/>
                <w:color w:val="000000"/>
                <w:kern w:val="0"/>
                <w:szCs w:val="21"/>
              </w:rPr>
              <w:t>☑制定     □修订</w:t>
            </w:r>
            <w:r>
              <w:rPr>
                <w:rFonts w:hint="eastAsia" w:ascii="宋体" w:hAnsi="宋体"/>
                <w:szCs w:val="21"/>
              </w:rPr>
              <w:t>（被修订标准名称及编号：                      ）</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5" w:hRule="atLeast"/>
        </w:trPr>
        <w:tc>
          <w:tcPr>
            <w:tcW w:w="1794" w:type="dxa"/>
            <w:vAlign w:val="center"/>
          </w:tcPr>
          <w:p>
            <w:pPr>
              <w:ind w:left="141" w:leftChars="67" w:right="176" w:rightChars="84"/>
              <w:rPr>
                <w:rFonts w:ascii="宋体" w:hAnsi="宋体"/>
                <w:color w:val="000000"/>
                <w:szCs w:val="21"/>
              </w:rPr>
            </w:pPr>
            <w:r>
              <w:rPr>
                <w:rFonts w:hint="eastAsia" w:ascii="宋体" w:hAnsi="宋体"/>
                <w:color w:val="000000"/>
                <w:szCs w:val="21"/>
              </w:rPr>
              <w:t>1.5 起止时间</w:t>
            </w:r>
          </w:p>
        </w:tc>
        <w:tc>
          <w:tcPr>
            <w:tcW w:w="7590" w:type="dxa"/>
            <w:gridSpan w:val="5"/>
            <w:vAlign w:val="center"/>
          </w:tcPr>
          <w:p>
            <w:pPr>
              <w:jc w:val="center"/>
              <w:rPr>
                <w:rFonts w:ascii="宋体" w:hAnsi="宋体"/>
                <w:color w:val="000000"/>
                <w:szCs w:val="21"/>
              </w:rPr>
            </w:pPr>
            <w:r>
              <w:rPr>
                <w:rFonts w:hint="eastAsia" w:ascii="宋体" w:hAnsi="宋体" w:cs="宋体"/>
                <w:color w:val="000000"/>
              </w:rPr>
              <w:t>2026年8月～2027年6月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1946" w:hRule="atLeast"/>
        </w:trPr>
        <w:tc>
          <w:tcPr>
            <w:tcW w:w="1794" w:type="dxa"/>
            <w:vAlign w:val="center"/>
          </w:tcPr>
          <w:p>
            <w:pPr>
              <w:ind w:left="141" w:leftChars="67" w:right="176" w:rightChars="84"/>
              <w:rPr>
                <w:rFonts w:ascii="宋体" w:hAnsi="宋体"/>
                <w:color w:val="000000"/>
                <w:szCs w:val="21"/>
              </w:rPr>
            </w:pPr>
            <w:r>
              <w:rPr>
                <w:rFonts w:ascii="宋体" w:hAnsi="宋体"/>
                <w:color w:val="000000"/>
                <w:szCs w:val="21"/>
              </w:rPr>
              <w:t xml:space="preserve">1.6 </w:t>
            </w:r>
            <w:r>
              <w:rPr>
                <w:rFonts w:hint="eastAsia" w:ascii="宋体" w:hAnsi="宋体"/>
                <w:color w:val="000000"/>
                <w:szCs w:val="21"/>
              </w:rPr>
              <w:t>标准起草单位</w:t>
            </w:r>
          </w:p>
        </w:tc>
        <w:tc>
          <w:tcPr>
            <w:tcW w:w="7590" w:type="dxa"/>
            <w:gridSpan w:val="5"/>
            <w:vAlign w:val="center"/>
          </w:tcPr>
          <w:p>
            <w:pPr>
              <w:rPr>
                <w:rFonts w:ascii="宋体" w:hAnsi="宋体"/>
                <w:color w:val="000000"/>
                <w:szCs w:val="21"/>
              </w:rPr>
            </w:pPr>
            <w:r>
              <w:rPr>
                <w:rFonts w:hint="eastAsia" w:ascii="宋体" w:hAnsi="宋体" w:cs="宋体"/>
                <w:color w:val="000000"/>
              </w:rPr>
              <w:t>中国网络安全审查认证和市场监管大数据中心、国家市场监督管理总局认证认可技术研究中心、四川省质量和标准化研究院、四川省市场监督管理局、浙江省质量科学研究院、江苏省市场监督管理局、四川省市场监督管理局数据应用中心、南京朗赢信息技术有限公司、北京三维天地科技股份有限公司、国机特种设备检验有限公司</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1306" w:hRule="atLeast"/>
        </w:trPr>
        <w:tc>
          <w:tcPr>
            <w:tcW w:w="1794" w:type="dxa"/>
            <w:vAlign w:val="center"/>
          </w:tcPr>
          <w:p>
            <w:pPr>
              <w:ind w:left="141" w:leftChars="67" w:right="176" w:rightChars="84"/>
              <w:rPr>
                <w:rFonts w:ascii="宋体" w:hAnsi="宋体"/>
                <w:color w:val="000000"/>
                <w:szCs w:val="21"/>
              </w:rPr>
            </w:pPr>
            <w:r>
              <w:rPr>
                <w:rFonts w:ascii="宋体" w:hAnsi="宋体"/>
                <w:color w:val="000000"/>
                <w:szCs w:val="21"/>
              </w:rPr>
              <w:t xml:space="preserve">1.7 </w:t>
            </w:r>
            <w:r>
              <w:rPr>
                <w:rFonts w:hint="eastAsia" w:ascii="宋体" w:hAnsi="宋体"/>
                <w:color w:val="000000"/>
                <w:szCs w:val="21"/>
              </w:rPr>
              <w:t>起草组成员</w:t>
            </w:r>
          </w:p>
        </w:tc>
        <w:tc>
          <w:tcPr>
            <w:tcW w:w="7590" w:type="dxa"/>
            <w:gridSpan w:val="5"/>
            <w:vAlign w:val="center"/>
          </w:tcPr>
          <w:p>
            <w:pPr>
              <w:rPr>
                <w:rFonts w:ascii="宋体" w:hAnsi="宋体"/>
                <w:color w:val="000000"/>
                <w:szCs w:val="21"/>
              </w:rPr>
            </w:pPr>
            <w:r>
              <w:rPr>
                <w:rFonts w:hint="eastAsia" w:ascii="宋体" w:hAnsi="宋体" w:cs="宋体"/>
                <w:color w:val="000000"/>
              </w:rPr>
              <w:t>贺鹏艳、周希昱、左天明、王舒、宋琪、张博、潘登、刘迈、邹睿、刘佳莹、苗文彖、杨仕全、胡伟建、刘昕、张京日、程四祥</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1379" w:hRule="exact"/>
        </w:trPr>
        <w:tc>
          <w:tcPr>
            <w:tcW w:w="1794" w:type="dxa"/>
            <w:tcBorders>
              <w:bottom w:val="single" w:color="auto" w:sz="4" w:space="0"/>
            </w:tcBorders>
            <w:vAlign w:val="center"/>
          </w:tcPr>
          <w:p>
            <w:pPr>
              <w:ind w:left="141" w:leftChars="67" w:right="176" w:rightChars="84"/>
              <w:rPr>
                <w:rFonts w:ascii="宋体" w:hAnsi="宋体"/>
                <w:color w:val="000000"/>
                <w:szCs w:val="21"/>
              </w:rPr>
            </w:pPr>
            <w:r>
              <w:rPr>
                <w:rFonts w:ascii="宋体" w:hAnsi="宋体"/>
                <w:color w:val="000000"/>
                <w:szCs w:val="21"/>
              </w:rPr>
              <w:t>1.</w:t>
            </w:r>
            <w:r>
              <w:rPr>
                <w:rFonts w:hint="eastAsia" w:ascii="宋体" w:hAnsi="宋体"/>
                <w:color w:val="000000"/>
                <w:szCs w:val="21"/>
              </w:rPr>
              <w:t>8标准体系表内编号</w:t>
            </w:r>
          </w:p>
        </w:tc>
        <w:tc>
          <w:tcPr>
            <w:tcW w:w="7590" w:type="dxa"/>
            <w:gridSpan w:val="5"/>
            <w:tcBorders>
              <w:bottom w:val="single" w:color="auto" w:sz="4" w:space="0"/>
            </w:tcBorders>
            <w:vAlign w:val="center"/>
          </w:tcPr>
          <w:p>
            <w:pPr>
              <w:rPr>
                <w:rFonts w:ascii="宋体" w:hAnsi="宋体"/>
                <w:color w:val="000000"/>
                <w:szCs w:val="21"/>
              </w:rPr>
            </w:pPr>
            <w:r>
              <w:rPr>
                <w:rFonts w:hint="eastAsia" w:ascii="宋体" w:hAnsi="宋体"/>
                <w:color w:val="000000"/>
                <w:szCs w:val="21"/>
              </w:rPr>
              <w:t>无</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1570" w:hRule="exact"/>
        </w:trPr>
        <w:tc>
          <w:tcPr>
            <w:tcW w:w="1794" w:type="dxa"/>
            <w:tcBorders>
              <w:top w:val="single" w:color="auto" w:sz="4" w:space="0"/>
              <w:left w:val="single" w:color="auto" w:sz="4" w:space="0"/>
              <w:bottom w:val="single" w:color="auto" w:sz="4" w:space="0"/>
              <w:right w:val="single" w:color="auto" w:sz="4" w:space="0"/>
            </w:tcBorders>
            <w:vAlign w:val="center"/>
          </w:tcPr>
          <w:p>
            <w:pPr>
              <w:ind w:left="141" w:leftChars="67" w:right="176" w:rightChars="84"/>
              <w:rPr>
                <w:rFonts w:ascii="宋体" w:hAnsi="宋体"/>
                <w:color w:val="000000"/>
                <w:szCs w:val="21"/>
              </w:rPr>
            </w:pPr>
            <w:r>
              <w:rPr>
                <w:rFonts w:ascii="宋体" w:hAnsi="宋体"/>
                <w:color w:val="000000"/>
                <w:szCs w:val="21"/>
              </w:rPr>
              <w:t>1.</w:t>
            </w:r>
            <w:r>
              <w:rPr>
                <w:rFonts w:hint="eastAsia" w:ascii="宋体" w:hAnsi="宋体"/>
                <w:color w:val="000000"/>
                <w:szCs w:val="21"/>
              </w:rPr>
              <w:t>9调整情况</w:t>
            </w:r>
          </w:p>
        </w:tc>
        <w:tc>
          <w:tcPr>
            <w:tcW w:w="7590" w:type="dxa"/>
            <w:gridSpan w:val="5"/>
            <w:tcBorders>
              <w:top w:val="single" w:color="auto" w:sz="4" w:space="0"/>
              <w:left w:val="single" w:color="auto" w:sz="4" w:space="0"/>
              <w:bottom w:val="single" w:color="auto" w:sz="4" w:space="0"/>
              <w:right w:val="single" w:color="auto" w:sz="4" w:space="0"/>
            </w:tcBorders>
            <w:vAlign w:val="center"/>
          </w:tcPr>
          <w:p>
            <w:pPr>
              <w:rPr>
                <w:rFonts w:ascii="宋体" w:hAnsi="宋体"/>
                <w:color w:val="000000"/>
                <w:szCs w:val="21"/>
              </w:rPr>
            </w:pPr>
            <w:r>
              <w:rPr>
                <w:rFonts w:hint="eastAsia" w:ascii="宋体" w:hAnsi="宋体"/>
                <w:color w:val="000000"/>
                <w:szCs w:val="21"/>
              </w:rPr>
              <w:t>无</w:t>
            </w:r>
          </w:p>
        </w:tc>
      </w:tr>
    </w:tbl>
    <w:p>
      <w:pPr>
        <w:rPr>
          <w:rFonts w:eastAsia="仿宋_GB2312"/>
          <w:b/>
          <w:color w:val="000000"/>
          <w:kern w:val="0"/>
          <w:sz w:val="32"/>
        </w:rPr>
      </w:pPr>
    </w:p>
    <w:tbl>
      <w:tblPr>
        <w:tblStyle w:val="38"/>
        <w:tblpPr w:leftFromText="180" w:rightFromText="180" w:vertAnchor="text" w:horzAnchor="margin" w:tblpXSpec="center" w:tblpY="169"/>
        <w:tblW w:w="9384"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1794"/>
        <w:gridCol w:w="7590"/>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485" w:hRule="exact"/>
        </w:trPr>
        <w:tc>
          <w:tcPr>
            <w:tcW w:w="9384" w:type="dxa"/>
            <w:gridSpan w:val="2"/>
            <w:tcBorders>
              <w:top w:val="nil"/>
              <w:left w:val="nil"/>
              <w:bottom w:val="nil"/>
              <w:right w:val="nil"/>
            </w:tcBorders>
            <w:vAlign w:val="center"/>
          </w:tcPr>
          <w:p>
            <w:pPr>
              <w:rPr>
                <w:rFonts w:ascii="宋体" w:hAnsi="宋体"/>
                <w:b/>
                <w:color w:val="000000"/>
                <w:szCs w:val="21"/>
              </w:rPr>
            </w:pPr>
            <w:r>
              <w:rPr>
                <w:rFonts w:hint="eastAsia" w:ascii="宋体" w:hAnsi="宋体"/>
                <w:b/>
                <w:color w:val="000000"/>
                <w:szCs w:val="21"/>
              </w:rPr>
              <w:t>2、背景情况</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6437" w:hRule="atLeast"/>
        </w:trPr>
        <w:tc>
          <w:tcPr>
            <w:tcW w:w="1794" w:type="dxa"/>
            <w:tcBorders>
              <w:top w:val="single" w:color="auto" w:sz="4" w:space="0"/>
              <w:left w:val="single" w:color="auto" w:sz="4" w:space="0"/>
              <w:right w:val="single" w:color="auto" w:sz="4" w:space="0"/>
            </w:tcBorders>
            <w:vAlign w:val="center"/>
          </w:tcPr>
          <w:p>
            <w:pPr>
              <w:ind w:left="141" w:leftChars="67" w:right="36" w:rightChars="17"/>
              <w:rPr>
                <w:rFonts w:ascii="宋体" w:hAnsi="宋体"/>
                <w:color w:val="000000"/>
                <w:szCs w:val="21"/>
              </w:rPr>
            </w:pPr>
            <w:r>
              <w:rPr>
                <w:rFonts w:hint="eastAsia" w:ascii="宋体" w:hAnsi="宋体"/>
                <w:color w:val="000000"/>
                <w:szCs w:val="21"/>
              </w:rPr>
              <w:t>2.1 目的、意义</w:t>
            </w:r>
          </w:p>
          <w:p>
            <w:pPr>
              <w:ind w:left="141" w:leftChars="67" w:right="36" w:rightChars="17"/>
              <w:rPr>
                <w:rFonts w:ascii="宋体" w:hAnsi="宋体"/>
                <w:color w:val="000000"/>
                <w:szCs w:val="21"/>
              </w:rPr>
            </w:pPr>
            <w:r>
              <w:rPr>
                <w:rFonts w:hint="eastAsia" w:ascii="宋体" w:hAnsi="宋体"/>
                <w:color w:val="000000"/>
                <w:szCs w:val="21"/>
              </w:rPr>
              <w:t>（工作开展背景及要求）</w:t>
            </w:r>
          </w:p>
        </w:tc>
        <w:tc>
          <w:tcPr>
            <w:tcW w:w="7590" w:type="dxa"/>
            <w:tcBorders>
              <w:top w:val="single" w:color="auto" w:sz="4" w:space="0"/>
              <w:left w:val="single" w:color="auto" w:sz="4" w:space="0"/>
              <w:right w:val="single" w:color="auto" w:sz="4" w:space="0"/>
            </w:tcBorders>
            <w:vAlign w:val="center"/>
          </w:tcPr>
          <w:p>
            <w:pPr>
              <w:ind w:firstLine="420" w:firstLineChars="200"/>
              <w:rPr>
                <w:rFonts w:ascii="宋体" w:hAnsi="宋体" w:cs="宋体"/>
                <w:color w:val="000000"/>
              </w:rPr>
            </w:pPr>
            <w:r>
              <w:rPr>
                <w:rFonts w:hint="eastAsia" w:ascii="宋体" w:hAnsi="宋体" w:cs="宋体"/>
                <w:color w:val="000000"/>
              </w:rPr>
              <w:t>检验检测机构监督管理数据是支撑检验检测行业监管的基础性数据资源。我国检验检测行业规模持续扩大，已成为国家质量基础设施、公共安全保障与产业高质量发展的重要支撑。随着“放管服”改革深入推进，“双随机、一公开”监管、专项检查、信用风险分类、智慧监管等全面实施，《检验检测机构监督管理办法》（总局39号令）明确规定县级以上市场监督管理部门应当依据检验检测机构年度监督检查计划开展相关监督检查工作；2026年2月，市场监管总局办公厅印发《检验检测从业人员监督管理工作指引》，对检验检测机构从业人员执业档案管理、信息公示等管理制度作出规定；2025年2月，国家认监委秘书处印发《〈获总局资质认定的检验检测机构信用风险分类管理规范（试行）〉及风险分类指标体系》，旨在完善信用监管机制，提升检验检测机构监管的科学性、精准性、有效性。</w:t>
            </w:r>
          </w:p>
          <w:p>
            <w:pPr>
              <w:ind w:firstLine="420" w:firstLineChars="200"/>
              <w:rPr>
                <w:rFonts w:ascii="宋体" w:hAnsi="宋体" w:cs="宋体"/>
                <w:color w:val="000000"/>
              </w:rPr>
            </w:pPr>
            <w:r>
              <w:rPr>
                <w:rFonts w:hint="eastAsia" w:ascii="宋体" w:hAnsi="宋体" w:cs="宋体"/>
                <w:color w:val="000000"/>
              </w:rPr>
              <w:t>但行业监管存在数据标准不统一、采集口径不一致、系统互通困难、信息共享不畅等问题，从业人员管理、机构监督抽查、执法办案、信用评价等工作缺乏统一的数据规范，难以满足精准监管、协同监管与智能监管的现实需求。</w:t>
            </w:r>
          </w:p>
          <w:p>
            <w:pPr>
              <w:ind w:firstLine="420" w:firstLineChars="200"/>
              <w:rPr>
                <w:rFonts w:ascii="宋体" w:hAnsi="宋体" w:cs="宋体"/>
                <w:color w:val="000000"/>
              </w:rPr>
            </w:pPr>
            <w:r>
              <w:rPr>
                <w:rFonts w:hint="eastAsia" w:ascii="宋体" w:hAnsi="宋体" w:cs="宋体"/>
                <w:color w:val="000000"/>
              </w:rPr>
              <w:t>为统一检验检测机构监督管理数据标准，规范数据采集、交换、共享与应用，依据相关法律法规与国家标准，制定本文件。本文件旨在统一数据项、数据类型、格式与值域，实现监管数据定义一致、口径统一、要素完整；规范从业人员管理、监督抽查、信用风险分类等全流程监管行为；打通跨层级、跨部门数据壁垒，支撑监管系统对接与信息共享；为信用风险分类、大数据监测、差异化监管提供权威数据支撑，保障监管数据真实、准确、可追溯。</w:t>
            </w:r>
          </w:p>
          <w:p>
            <w:pPr>
              <w:ind w:firstLine="420" w:firstLineChars="200"/>
              <w:rPr>
                <w:rFonts w:ascii="宋体" w:hAnsi="宋体"/>
                <w:color w:val="000000"/>
                <w:szCs w:val="21"/>
              </w:rPr>
            </w:pPr>
            <w:r>
              <w:rPr>
                <w:rFonts w:hint="eastAsia" w:ascii="宋体" w:hAnsi="宋体" w:cs="宋体"/>
                <w:color w:val="000000"/>
              </w:rPr>
              <w:t>本文件的制定与实施，有利于提升检验检测监管精准化、智能化水平，强化重点领域风险防控；有利于构建全生命周期信用监管体系，落实守信激励与失信惩戒；有利于压实机构主体责任，规范从业行为，保障检验检测数据与结果真实可靠，维护市场秩序；有利于夯实行业数字治理基础，提升行业统计分析、政策制定与风险研判能力，全面推进检验检测行业治理体系和治理能力现代化。</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612" w:hRule="exact"/>
        </w:trPr>
        <w:tc>
          <w:tcPr>
            <w:tcW w:w="1794" w:type="dxa"/>
            <w:tcBorders>
              <w:top w:val="single" w:color="auto" w:sz="4" w:space="0"/>
              <w:left w:val="single" w:color="auto" w:sz="4" w:space="0"/>
              <w:bottom w:val="single" w:color="auto" w:sz="4" w:space="0"/>
              <w:right w:val="single" w:color="auto" w:sz="4" w:space="0"/>
            </w:tcBorders>
            <w:vAlign w:val="center"/>
          </w:tcPr>
          <w:p>
            <w:pPr>
              <w:ind w:left="141" w:leftChars="67" w:right="36" w:rightChars="17"/>
              <w:rPr>
                <w:rFonts w:ascii="宋体" w:hAnsi="宋体"/>
                <w:color w:val="000000"/>
                <w:szCs w:val="21"/>
              </w:rPr>
            </w:pPr>
            <w:r>
              <w:rPr>
                <w:rFonts w:hint="eastAsia" w:ascii="宋体" w:hAnsi="宋体"/>
                <w:color w:val="000000"/>
                <w:szCs w:val="21"/>
              </w:rPr>
              <w:t>2.2 与国内外相关标准、文献的关系</w:t>
            </w:r>
          </w:p>
        </w:tc>
        <w:tc>
          <w:tcPr>
            <w:tcW w:w="7590" w:type="dxa"/>
            <w:tcBorders>
              <w:top w:val="single" w:color="auto" w:sz="4" w:space="0"/>
              <w:left w:val="single" w:color="auto" w:sz="4" w:space="0"/>
              <w:bottom w:val="single" w:color="auto" w:sz="4" w:space="0"/>
              <w:right w:val="single" w:color="auto" w:sz="4" w:space="0"/>
            </w:tcBorders>
            <w:vAlign w:val="center"/>
          </w:tcPr>
          <w:p>
            <w:pPr>
              <w:ind w:firstLine="420" w:firstLineChars="200"/>
              <w:rPr>
                <w:rFonts w:hint="eastAsia" w:ascii="宋体" w:hAnsi="宋体" w:cs="宋体"/>
                <w:color w:val="000000"/>
              </w:rPr>
            </w:pPr>
            <w:r>
              <w:rPr>
                <w:rFonts w:hint="eastAsia" w:ascii="宋体" w:hAnsi="宋体" w:cs="宋体"/>
                <w:color w:val="000000"/>
              </w:rPr>
              <w:t>下列文件中的内容通过文中的规范性引用而构成本文件必不可少的条款。</w:t>
            </w:r>
          </w:p>
          <w:p>
            <w:pPr>
              <w:ind w:firstLine="420" w:firstLineChars="200"/>
              <w:rPr>
                <w:rFonts w:hint="eastAsia" w:ascii="宋体" w:hAnsi="宋体" w:cs="宋体"/>
                <w:color w:val="000000"/>
              </w:rPr>
            </w:pPr>
            <w:r>
              <w:rPr>
                <w:rFonts w:hint="eastAsia" w:ascii="宋体" w:hAnsi="宋体" w:cs="宋体"/>
                <w:color w:val="000000"/>
              </w:rPr>
              <w:t>GB/T 19488.1-2004 电子政务数据元 第1部分：设计和管理规范</w:t>
            </w:r>
          </w:p>
          <w:p>
            <w:pPr>
              <w:ind w:firstLine="420" w:firstLineChars="200"/>
              <w:rPr>
                <w:rFonts w:hint="eastAsia" w:ascii="宋体" w:hAnsi="宋体" w:cs="宋体"/>
                <w:color w:val="000000"/>
              </w:rPr>
            </w:pPr>
            <w:r>
              <w:rPr>
                <w:rFonts w:hint="eastAsia" w:ascii="宋体" w:hAnsi="宋体" w:cs="宋体"/>
                <w:color w:val="000000"/>
              </w:rPr>
              <w:t>GB/T 22117-2018 信用 基本术语</w:t>
            </w:r>
          </w:p>
          <w:p>
            <w:pPr>
              <w:ind w:firstLine="420" w:firstLineChars="200"/>
              <w:rPr>
                <w:rFonts w:hint="eastAsia" w:ascii="宋体" w:hAnsi="宋体" w:cs="宋体"/>
                <w:color w:val="000000"/>
              </w:rPr>
            </w:pPr>
            <w:r>
              <w:rPr>
                <w:rFonts w:hint="eastAsia" w:ascii="宋体" w:hAnsi="宋体" w:cs="宋体"/>
                <w:color w:val="000000"/>
              </w:rPr>
              <w:t>GB/T 31880-2015 检验检测机构诚信基本要求</w:t>
            </w:r>
          </w:p>
          <w:p>
            <w:pPr>
              <w:ind w:firstLine="420" w:firstLineChars="200"/>
              <w:rPr>
                <w:rFonts w:ascii="宋体" w:hAnsi="宋体"/>
                <w:color w:val="000000"/>
                <w:szCs w:val="21"/>
              </w:rPr>
            </w:pPr>
            <w:r>
              <w:rPr>
                <w:rFonts w:hint="eastAsia" w:ascii="宋体" w:hAnsi="宋体" w:cs="宋体"/>
                <w:color w:val="000000"/>
              </w:rPr>
              <w:t>GB/T 40149-2021 检验检测机构从业人员信用档案建设规范</w:t>
            </w:r>
          </w:p>
        </w:tc>
      </w:tr>
    </w:tbl>
    <w:p>
      <w:pPr>
        <w:rPr>
          <w:rFonts w:eastAsia="仿宋_GB2312"/>
          <w:b/>
          <w:color w:val="000000"/>
          <w:kern w:val="0"/>
          <w:sz w:val="32"/>
        </w:rPr>
      </w:pPr>
    </w:p>
    <w:tbl>
      <w:tblPr>
        <w:tblStyle w:val="38"/>
        <w:tblpPr w:leftFromText="180" w:rightFromText="180" w:vertAnchor="text" w:horzAnchor="margin" w:tblpXSpec="center" w:tblpY="169"/>
        <w:tblW w:w="9428"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1970"/>
        <w:gridCol w:w="7458"/>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302" w:hRule="exact"/>
        </w:trPr>
        <w:tc>
          <w:tcPr>
            <w:tcW w:w="9428" w:type="dxa"/>
            <w:gridSpan w:val="2"/>
            <w:tcBorders>
              <w:top w:val="nil"/>
              <w:left w:val="nil"/>
              <w:bottom w:val="nil"/>
              <w:right w:val="nil"/>
            </w:tcBorders>
            <w:vAlign w:val="center"/>
          </w:tcPr>
          <w:p>
            <w:pPr>
              <w:rPr>
                <w:rFonts w:ascii="宋体" w:hAnsi="宋体"/>
                <w:b/>
                <w:color w:val="000000"/>
                <w:szCs w:val="21"/>
              </w:rPr>
            </w:pPr>
            <w:r>
              <w:rPr>
                <w:rFonts w:hint="eastAsia" w:ascii="宋体" w:hAnsi="宋体"/>
                <w:b/>
                <w:color w:val="000000"/>
                <w:szCs w:val="21"/>
              </w:rPr>
              <w:t>3  编制过程</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1551" w:hRule="atLeast"/>
        </w:trPr>
        <w:tc>
          <w:tcPr>
            <w:tcW w:w="1970" w:type="dxa"/>
            <w:tcBorders>
              <w:top w:val="single" w:color="auto" w:sz="4" w:space="0"/>
              <w:bottom w:val="single" w:color="auto" w:sz="4" w:space="0"/>
            </w:tcBorders>
            <w:vAlign w:val="center"/>
          </w:tcPr>
          <w:p>
            <w:pPr>
              <w:ind w:left="141" w:leftChars="67" w:right="176" w:rightChars="84"/>
              <w:rPr>
                <w:rFonts w:ascii="宋体" w:hAnsi="宋体"/>
                <w:color w:val="000000"/>
                <w:szCs w:val="21"/>
              </w:rPr>
            </w:pPr>
            <w:r>
              <w:rPr>
                <w:rFonts w:ascii="宋体" w:hAnsi="宋体"/>
                <w:color w:val="000000"/>
                <w:szCs w:val="21"/>
              </w:rPr>
              <w:t>3.</w:t>
            </w:r>
            <w:r>
              <w:rPr>
                <w:rFonts w:hint="eastAsia" w:ascii="宋体" w:hAnsi="宋体"/>
                <w:color w:val="000000"/>
                <w:szCs w:val="21"/>
              </w:rPr>
              <w:t>1</w:t>
            </w:r>
            <w:r>
              <w:rPr>
                <w:rFonts w:ascii="宋体" w:hAnsi="宋体"/>
                <w:color w:val="000000"/>
                <w:szCs w:val="21"/>
              </w:rPr>
              <w:t xml:space="preserve"> </w:t>
            </w:r>
            <w:r>
              <w:rPr>
                <w:rFonts w:hint="eastAsia" w:ascii="宋体" w:hAnsi="宋体"/>
                <w:color w:val="000000"/>
                <w:szCs w:val="21"/>
              </w:rPr>
              <w:t>分工情况</w:t>
            </w:r>
          </w:p>
        </w:tc>
        <w:tc>
          <w:tcPr>
            <w:tcW w:w="7458" w:type="dxa"/>
            <w:tcBorders>
              <w:bottom w:val="single" w:color="auto" w:sz="4" w:space="0"/>
            </w:tcBorders>
            <w:vAlign w:val="center"/>
          </w:tcPr>
          <w:p>
            <w:pPr>
              <w:rPr>
                <w:rFonts w:ascii="宋体" w:hAnsi="宋体" w:cs="宋体"/>
                <w:color w:val="000000"/>
              </w:rPr>
            </w:pPr>
            <w:r>
              <w:rPr>
                <w:rFonts w:hint="eastAsia" w:ascii="宋体" w:hAnsi="宋体" w:cs="宋体"/>
                <w:color w:val="000000"/>
              </w:rPr>
              <w:t xml:space="preserve">   本项目由中国网络安全审查认证和市场监管大数据中心牵头，贺鹏艳任项目负责人，全面负责标准编制统筹、进度管控、质量审核与成果落地；</w:t>
            </w:r>
          </w:p>
          <w:p>
            <w:pPr>
              <w:rPr>
                <w:rFonts w:ascii="宋体" w:hAnsi="宋体" w:cs="宋体"/>
                <w:color w:val="000000"/>
              </w:rPr>
            </w:pPr>
            <w:r>
              <w:rPr>
                <w:rFonts w:hint="eastAsia" w:ascii="宋体" w:hAnsi="宋体" w:cs="宋体"/>
                <w:color w:val="000000"/>
              </w:rPr>
              <w:t xml:space="preserve">   中国网络安全审查认证和市场监管大数据中心周希昱、宋琪负责数据治理与信息化管理相关研究；</w:t>
            </w:r>
          </w:p>
          <w:p>
            <w:pPr>
              <w:rPr>
                <w:rFonts w:ascii="宋体" w:hAnsi="宋体" w:cs="宋体"/>
                <w:color w:val="000000"/>
              </w:rPr>
            </w:pPr>
            <w:r>
              <w:rPr>
                <w:rFonts w:hint="eastAsia" w:ascii="宋体" w:hAnsi="宋体" w:cs="宋体"/>
                <w:color w:val="000000"/>
              </w:rPr>
              <w:t xml:space="preserve">   国家市场监督管理总局认证认可技术研究中心左天明、张博、刘迈负责检验检测行业监管、</w:t>
            </w:r>
            <w:r>
              <w:rPr>
                <w:rFonts w:ascii="宋体" w:hAnsi="宋体" w:cs="宋体"/>
                <w:color w:val="000000"/>
              </w:rPr>
              <w:t>信用风险</w:t>
            </w:r>
            <w:r>
              <w:rPr>
                <w:rFonts w:hint="eastAsia" w:ascii="宋体" w:hAnsi="宋体" w:cs="宋体"/>
                <w:color w:val="000000"/>
              </w:rPr>
              <w:t>分类业务支持；</w:t>
            </w:r>
          </w:p>
          <w:p>
            <w:pPr>
              <w:rPr>
                <w:rFonts w:ascii="宋体" w:hAnsi="宋体" w:cs="宋体"/>
                <w:color w:val="000000"/>
              </w:rPr>
            </w:pPr>
            <w:r>
              <w:rPr>
                <w:rFonts w:hint="eastAsia" w:ascii="宋体" w:hAnsi="宋体" w:cs="宋体"/>
                <w:color w:val="000000"/>
              </w:rPr>
              <w:t xml:space="preserve">   四川省质量和标准化研究院王舒、杨仕全，四川省市场监督管理局邹睿，四川省市场监督管理局数据应用中心潘登负责从业人员监督检查业务支持以及标准化研究与法规政策梳理；</w:t>
            </w:r>
          </w:p>
          <w:p>
            <w:pPr>
              <w:ind w:firstLine="315" w:firstLineChars="150"/>
              <w:rPr>
                <w:rFonts w:ascii="宋体" w:hAnsi="宋体" w:cs="宋体"/>
                <w:color w:val="000000"/>
              </w:rPr>
            </w:pPr>
            <w:r>
              <w:rPr>
                <w:rFonts w:hint="eastAsia" w:ascii="宋体" w:hAnsi="宋体" w:cs="宋体"/>
                <w:color w:val="000000"/>
              </w:rPr>
              <w:t>浙江省质量科学研究院刘佳莹、江苏省市场监督管理局苗文彖结合地方监管实际参与标准编制；</w:t>
            </w:r>
          </w:p>
          <w:p>
            <w:pPr>
              <w:ind w:firstLine="315" w:firstLineChars="150"/>
              <w:rPr>
                <w:rFonts w:ascii="宋体" w:hAnsi="宋体" w:cs="宋体"/>
                <w:color w:val="000000"/>
              </w:rPr>
            </w:pPr>
            <w:r>
              <w:rPr>
                <w:rFonts w:hint="eastAsia" w:ascii="宋体" w:hAnsi="宋体" w:cs="宋体"/>
                <w:color w:val="000000"/>
              </w:rPr>
              <w:t>北京三维天地科技股份有限公司张京日、国机特种设备检验有限公司程四祥、南京朗赢信息技术有限公司胡伟建、刘昕结合检验检测业务与信息化实践参与标准起草。</w:t>
            </w:r>
          </w:p>
          <w:p>
            <w:pPr>
              <w:ind w:firstLine="315" w:firstLineChars="150"/>
              <w:rPr>
                <w:rFonts w:ascii="宋体" w:hAnsi="宋体"/>
                <w:color w:val="000000"/>
                <w:szCs w:val="21"/>
              </w:rPr>
            </w:pPr>
            <w:r>
              <w:rPr>
                <w:rFonts w:hint="eastAsia" w:ascii="宋体" w:hAnsi="宋体" w:cs="宋体"/>
                <w:color w:val="000000"/>
              </w:rPr>
              <w:t>标准整体架构由起草小组共同确定，各成员按照任务分工协同开展调研、起草、修改完善等工作。</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1611" w:hRule="atLeast"/>
        </w:trPr>
        <w:tc>
          <w:tcPr>
            <w:tcW w:w="1970" w:type="dxa"/>
            <w:tcBorders>
              <w:top w:val="single" w:color="auto" w:sz="4" w:space="0"/>
              <w:bottom w:val="single" w:color="auto" w:sz="4" w:space="0"/>
            </w:tcBorders>
            <w:vAlign w:val="center"/>
          </w:tcPr>
          <w:p>
            <w:pPr>
              <w:ind w:left="141" w:leftChars="67" w:right="176" w:rightChars="84"/>
              <w:rPr>
                <w:rFonts w:ascii="宋体" w:hAnsi="宋体"/>
                <w:color w:val="000000"/>
                <w:szCs w:val="21"/>
              </w:rPr>
            </w:pPr>
            <w:r>
              <w:rPr>
                <w:rFonts w:ascii="宋体" w:hAnsi="宋体"/>
                <w:color w:val="000000"/>
                <w:szCs w:val="21"/>
              </w:rPr>
              <w:t>3.</w:t>
            </w:r>
            <w:r>
              <w:rPr>
                <w:rFonts w:hint="eastAsia" w:ascii="宋体" w:hAnsi="宋体"/>
                <w:color w:val="000000"/>
                <w:szCs w:val="21"/>
              </w:rPr>
              <w:t>2起草阶段</w:t>
            </w:r>
          </w:p>
        </w:tc>
        <w:tc>
          <w:tcPr>
            <w:tcW w:w="7458" w:type="dxa"/>
            <w:tcBorders>
              <w:bottom w:val="single" w:color="auto" w:sz="4" w:space="0"/>
            </w:tcBorders>
            <w:vAlign w:val="center"/>
          </w:tcPr>
          <w:p>
            <w:pPr>
              <w:ind w:firstLine="210" w:firstLineChars="100"/>
              <w:rPr>
                <w:rFonts w:ascii="宋体" w:hAnsi="宋体" w:cs="宋体"/>
                <w:color w:val="000000"/>
              </w:rPr>
            </w:pPr>
            <w:r>
              <w:rPr>
                <w:rFonts w:hint="eastAsia" w:ascii="宋体" w:hAnsi="宋体" w:cs="宋体"/>
                <w:color w:val="000000"/>
              </w:rPr>
              <w:t>2026年8月，项目立项，召开项目启动会，组建标准起草工作组；</w:t>
            </w:r>
          </w:p>
          <w:p>
            <w:pPr>
              <w:ind w:firstLine="210" w:firstLineChars="100"/>
              <w:rPr>
                <w:rFonts w:ascii="宋体" w:hAnsi="宋体" w:cs="宋体"/>
                <w:color w:val="000000"/>
              </w:rPr>
            </w:pPr>
            <w:r>
              <w:rPr>
                <w:rFonts w:hint="eastAsia" w:ascii="宋体" w:hAnsi="宋体" w:cs="宋体"/>
                <w:color w:val="000000"/>
              </w:rPr>
              <w:t>2026年9月，开展调研工作，线上收集相关政策文件、相关国家标准和行业标准，线下去浙江</w:t>
            </w:r>
            <w:r>
              <w:rPr>
                <w:rFonts w:ascii="宋体" w:hAnsi="宋体" w:cs="宋体"/>
                <w:color w:val="000000"/>
              </w:rPr>
              <w:t>省局</w:t>
            </w:r>
            <w:r>
              <w:rPr>
                <w:rFonts w:hint="eastAsia" w:ascii="宋体" w:hAnsi="宋体" w:cs="宋体"/>
                <w:color w:val="000000"/>
              </w:rPr>
              <w:t>、南京省局开展实地调研并形成调研记录；</w:t>
            </w:r>
          </w:p>
          <w:p>
            <w:pPr>
              <w:ind w:firstLine="210" w:firstLineChars="100"/>
              <w:rPr>
                <w:rFonts w:ascii="宋体" w:hAnsi="宋体"/>
                <w:color w:val="000000"/>
                <w:szCs w:val="21"/>
              </w:rPr>
            </w:pPr>
            <w:r>
              <w:rPr>
                <w:rFonts w:hint="eastAsia" w:ascii="宋体" w:hAnsi="宋体" w:cs="宋体"/>
                <w:color w:val="000000"/>
              </w:rPr>
              <w:t>2026年10月，进入标准拟稿阶段，标准起草小组分工编制，形成标准草案稿，经起草小组讨论修改，形成标准征求意见稿。</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1526" w:hRule="atLeast"/>
        </w:trPr>
        <w:tc>
          <w:tcPr>
            <w:tcW w:w="1970" w:type="dxa"/>
            <w:tcBorders>
              <w:top w:val="single" w:color="auto" w:sz="4" w:space="0"/>
              <w:bottom w:val="single" w:color="auto" w:sz="6" w:space="0"/>
            </w:tcBorders>
            <w:vAlign w:val="center"/>
          </w:tcPr>
          <w:p>
            <w:pPr>
              <w:ind w:left="141" w:leftChars="67" w:right="176" w:rightChars="84"/>
              <w:rPr>
                <w:rFonts w:ascii="宋体" w:hAnsi="宋体"/>
                <w:color w:val="000000"/>
                <w:szCs w:val="21"/>
              </w:rPr>
            </w:pPr>
            <w:r>
              <w:rPr>
                <w:rFonts w:ascii="宋体" w:hAnsi="宋体"/>
                <w:color w:val="000000"/>
                <w:szCs w:val="21"/>
              </w:rPr>
              <w:t>3.</w:t>
            </w:r>
            <w:r>
              <w:rPr>
                <w:rFonts w:hint="eastAsia" w:ascii="宋体" w:hAnsi="宋体"/>
                <w:color w:val="000000"/>
                <w:szCs w:val="21"/>
              </w:rPr>
              <w:t>3征求意见阶段</w:t>
            </w:r>
          </w:p>
        </w:tc>
        <w:tc>
          <w:tcPr>
            <w:tcW w:w="7458" w:type="dxa"/>
            <w:tcBorders>
              <w:top w:val="single" w:color="auto" w:sz="4" w:space="0"/>
              <w:bottom w:val="single" w:color="auto" w:sz="6" w:space="0"/>
            </w:tcBorders>
            <w:vAlign w:val="center"/>
          </w:tcPr>
          <w:p>
            <w:pPr>
              <w:ind w:firstLine="315" w:firstLineChars="150"/>
              <w:rPr>
                <w:rFonts w:ascii="宋体" w:hAnsi="宋体"/>
                <w:color w:val="000000"/>
                <w:szCs w:val="21"/>
              </w:rPr>
            </w:pPr>
            <w:r>
              <w:rPr>
                <w:rFonts w:hint="eastAsia" w:ascii="宋体" w:hAnsi="宋体" w:cs="宋体"/>
                <w:color w:val="000000"/>
              </w:rPr>
              <w:t>2026年1</w:t>
            </w:r>
            <w:r>
              <w:rPr>
                <w:rFonts w:ascii="宋体" w:hAnsi="宋体" w:cs="宋体"/>
                <w:color w:val="000000"/>
              </w:rPr>
              <w:t>0</w:t>
            </w:r>
            <w:r>
              <w:rPr>
                <w:rFonts w:hint="eastAsia" w:ascii="宋体" w:hAnsi="宋体" w:cs="宋体"/>
                <w:color w:val="000000"/>
              </w:rPr>
              <w:t>月底，线上线下征求相关单位、人员意见，形成意见汇总表；邀请专家召开审查会，形成标准送审稿、专家意见汇总表。</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1814" w:hRule="atLeast"/>
        </w:trPr>
        <w:tc>
          <w:tcPr>
            <w:tcW w:w="1970" w:type="dxa"/>
            <w:tcBorders>
              <w:top w:val="single" w:color="auto" w:sz="6" w:space="0"/>
              <w:bottom w:val="single" w:color="auto" w:sz="6" w:space="0"/>
            </w:tcBorders>
            <w:vAlign w:val="center"/>
          </w:tcPr>
          <w:p>
            <w:pPr>
              <w:ind w:left="141" w:leftChars="67" w:right="176" w:rightChars="84"/>
              <w:rPr>
                <w:rFonts w:ascii="宋体" w:hAnsi="宋体"/>
                <w:color w:val="000000"/>
                <w:szCs w:val="21"/>
              </w:rPr>
            </w:pPr>
            <w:r>
              <w:rPr>
                <w:rFonts w:ascii="宋体" w:hAnsi="宋体"/>
                <w:color w:val="000000"/>
                <w:szCs w:val="21"/>
              </w:rPr>
              <w:t>3.</w:t>
            </w:r>
            <w:r>
              <w:rPr>
                <w:rFonts w:hint="eastAsia" w:ascii="宋体" w:hAnsi="宋体"/>
                <w:color w:val="000000"/>
                <w:szCs w:val="21"/>
              </w:rPr>
              <w:t>4标准预审查阶段</w:t>
            </w:r>
          </w:p>
        </w:tc>
        <w:tc>
          <w:tcPr>
            <w:tcW w:w="7458" w:type="dxa"/>
            <w:tcBorders>
              <w:top w:val="single" w:color="auto" w:sz="6" w:space="0"/>
              <w:bottom w:val="single" w:color="auto" w:sz="6" w:space="0"/>
            </w:tcBorders>
            <w:vAlign w:val="center"/>
          </w:tcPr>
          <w:p>
            <w:pPr>
              <w:jc w:val="left"/>
              <w:rPr>
                <w:rFonts w:ascii="宋体" w:hAnsi="宋体"/>
                <w:color w:val="000000"/>
                <w:szCs w:val="21"/>
              </w:rPr>
            </w:pPr>
            <w:r>
              <w:rPr>
                <w:rFonts w:hint="eastAsia" w:ascii="宋体" w:hAnsi="宋体"/>
                <w:color w:val="000000"/>
                <w:szCs w:val="21"/>
              </w:rPr>
              <w:t>未启动</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1439" w:hRule="atLeast"/>
        </w:trPr>
        <w:tc>
          <w:tcPr>
            <w:tcW w:w="1970" w:type="dxa"/>
            <w:tcBorders>
              <w:top w:val="single" w:color="auto" w:sz="6" w:space="0"/>
              <w:bottom w:val="single" w:color="auto" w:sz="6" w:space="0"/>
            </w:tcBorders>
            <w:vAlign w:val="center"/>
          </w:tcPr>
          <w:p>
            <w:pPr>
              <w:ind w:left="141" w:leftChars="67" w:right="176" w:rightChars="84"/>
              <w:rPr>
                <w:rFonts w:ascii="宋体" w:hAnsi="宋体"/>
                <w:color w:val="000000"/>
                <w:szCs w:val="21"/>
              </w:rPr>
            </w:pPr>
            <w:r>
              <w:rPr>
                <w:rFonts w:hint="eastAsia" w:ascii="宋体" w:hAnsi="宋体"/>
                <w:color w:val="000000"/>
                <w:szCs w:val="21"/>
              </w:rPr>
              <w:t>3.5标准审查阶段</w:t>
            </w:r>
          </w:p>
        </w:tc>
        <w:tc>
          <w:tcPr>
            <w:tcW w:w="7458" w:type="dxa"/>
            <w:tcBorders>
              <w:top w:val="single" w:color="auto" w:sz="6" w:space="0"/>
              <w:bottom w:val="single" w:color="auto" w:sz="6" w:space="0"/>
            </w:tcBorders>
            <w:vAlign w:val="center"/>
          </w:tcPr>
          <w:p>
            <w:pPr>
              <w:jc w:val="left"/>
              <w:rPr>
                <w:rFonts w:ascii="宋体" w:hAnsi="宋体"/>
                <w:color w:val="000000"/>
                <w:szCs w:val="21"/>
              </w:rPr>
            </w:pPr>
            <w:r>
              <w:rPr>
                <w:rFonts w:hint="eastAsia" w:ascii="宋体" w:hAnsi="宋体"/>
                <w:color w:val="000000"/>
                <w:szCs w:val="21"/>
              </w:rPr>
              <w:t>未启动</w:t>
            </w:r>
          </w:p>
        </w:tc>
      </w:tr>
    </w:tbl>
    <w:p>
      <w:pPr>
        <w:rPr>
          <w:rFonts w:eastAsia="仿宋_GB2312"/>
          <w:b/>
          <w:color w:val="000000"/>
          <w:kern w:val="0"/>
          <w:sz w:val="32"/>
        </w:rPr>
      </w:pPr>
      <w:r>
        <w:rPr>
          <w:rFonts w:eastAsia="仿宋_GB2312"/>
          <w:b/>
          <w:color w:val="000000"/>
          <w:kern w:val="0"/>
          <w:sz w:val="32"/>
        </w:rPr>
        <w:br w:type="page"/>
      </w:r>
    </w:p>
    <w:tbl>
      <w:tblPr>
        <w:tblStyle w:val="38"/>
        <w:tblpPr w:leftFromText="180" w:rightFromText="180" w:vertAnchor="text" w:horzAnchor="margin" w:tblpXSpec="center" w:tblpY="169"/>
        <w:tblW w:w="962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9625"/>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353" w:hRule="atLeast"/>
        </w:trPr>
        <w:tc>
          <w:tcPr>
            <w:tcW w:w="9625" w:type="dxa"/>
            <w:tcBorders>
              <w:top w:val="nil"/>
              <w:left w:val="nil"/>
              <w:bottom w:val="single" w:color="auto" w:sz="4" w:space="0"/>
              <w:right w:val="nil"/>
            </w:tcBorders>
            <w:vAlign w:val="center"/>
          </w:tcPr>
          <w:p>
            <w:pPr>
              <w:rPr>
                <w:rFonts w:ascii="宋体" w:hAnsi="宋体"/>
                <w:b/>
                <w:color w:val="000000"/>
                <w:szCs w:val="21"/>
              </w:rPr>
            </w:pPr>
            <w:r>
              <w:rPr>
                <w:rFonts w:hint="eastAsia" w:ascii="宋体" w:hAnsi="宋体"/>
                <w:b/>
                <w:color w:val="000000"/>
                <w:szCs w:val="21"/>
              </w:rPr>
              <w:t>4  主要技术内容的确定</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6590" w:hRule="atLeast"/>
        </w:trPr>
        <w:tc>
          <w:tcPr>
            <w:tcW w:w="9625" w:type="dxa"/>
            <w:tcBorders>
              <w:top w:val="single" w:color="auto" w:sz="4" w:space="0"/>
              <w:left w:val="single" w:color="auto" w:sz="4" w:space="0"/>
              <w:bottom w:val="single" w:color="auto" w:sz="4" w:space="0"/>
              <w:right w:val="single" w:color="auto" w:sz="4" w:space="0"/>
            </w:tcBorders>
            <w:vAlign w:val="center"/>
          </w:tcPr>
          <w:p>
            <w:pPr>
              <w:rPr>
                <w:rFonts w:hint="eastAsia" w:ascii="宋体" w:hAnsi="宋体" w:cs="宋体"/>
                <w:color w:val="000000"/>
              </w:rPr>
            </w:pPr>
            <w:r>
              <w:rPr>
                <w:rFonts w:hint="eastAsia" w:ascii="宋体" w:hAnsi="宋体" w:cs="宋体"/>
                <w:color w:val="000000"/>
              </w:rPr>
              <w:t>（1）标准章节</w:t>
            </w:r>
          </w:p>
          <w:p>
            <w:pPr>
              <w:rPr>
                <w:rFonts w:hint="eastAsia" w:ascii="宋体" w:hAnsi="宋体" w:cs="宋体"/>
                <w:color w:val="000000"/>
              </w:rPr>
            </w:pPr>
            <w:r>
              <w:rPr>
                <w:rFonts w:hint="eastAsia" w:ascii="宋体" w:hAnsi="宋体" w:cs="宋体"/>
                <w:color w:val="000000"/>
              </w:rPr>
              <w:t>第一章 范围</w:t>
            </w:r>
          </w:p>
          <w:p>
            <w:pPr>
              <w:rPr>
                <w:rFonts w:hint="eastAsia" w:ascii="宋体" w:hAnsi="宋体" w:cs="宋体"/>
                <w:color w:val="000000"/>
              </w:rPr>
            </w:pPr>
            <w:r>
              <w:rPr>
                <w:rFonts w:hint="eastAsia" w:ascii="宋体" w:hAnsi="宋体" w:cs="宋体"/>
                <w:color w:val="000000"/>
              </w:rPr>
              <w:t>第二章 规范性引用文件</w:t>
            </w:r>
          </w:p>
          <w:p>
            <w:pPr>
              <w:rPr>
                <w:rFonts w:hint="eastAsia" w:ascii="宋体" w:hAnsi="宋体" w:cs="宋体"/>
                <w:color w:val="000000"/>
              </w:rPr>
            </w:pPr>
            <w:r>
              <w:rPr>
                <w:rFonts w:hint="eastAsia" w:ascii="宋体" w:hAnsi="宋体" w:cs="宋体"/>
                <w:color w:val="000000"/>
              </w:rPr>
              <w:t>第三章 术语和定义</w:t>
            </w:r>
          </w:p>
          <w:p>
            <w:pPr>
              <w:rPr>
                <w:rFonts w:hint="eastAsia" w:ascii="宋体" w:hAnsi="宋体" w:cs="宋体"/>
                <w:color w:val="000000"/>
              </w:rPr>
            </w:pPr>
            <w:r>
              <w:rPr>
                <w:rFonts w:hint="eastAsia" w:ascii="宋体" w:hAnsi="宋体" w:cs="宋体"/>
                <w:color w:val="000000"/>
              </w:rPr>
              <w:t>第四章 检验检测机构监督管理数据组成</w:t>
            </w:r>
          </w:p>
          <w:p>
            <w:pPr>
              <w:rPr>
                <w:rFonts w:hint="eastAsia" w:ascii="宋体" w:hAnsi="宋体" w:cs="宋体"/>
                <w:color w:val="000000"/>
              </w:rPr>
            </w:pPr>
            <w:r>
              <w:rPr>
                <w:rFonts w:hint="eastAsia" w:ascii="宋体" w:hAnsi="宋体" w:cs="宋体"/>
                <w:color w:val="000000"/>
              </w:rPr>
              <w:t>第五章 数据项表示方法及规则</w:t>
            </w:r>
          </w:p>
          <w:p>
            <w:pPr>
              <w:rPr>
                <w:rFonts w:hint="eastAsia" w:ascii="宋体" w:hAnsi="宋体" w:cs="宋体"/>
                <w:color w:val="000000"/>
              </w:rPr>
            </w:pPr>
            <w:r>
              <w:rPr>
                <w:rFonts w:hint="eastAsia" w:ascii="宋体" w:hAnsi="宋体" w:cs="宋体"/>
                <w:color w:val="000000"/>
              </w:rPr>
              <w:t>第六章 监督抽查数据</w:t>
            </w:r>
          </w:p>
          <w:p>
            <w:pPr>
              <w:rPr>
                <w:rFonts w:hint="eastAsia" w:ascii="宋体" w:hAnsi="宋体" w:cs="宋体"/>
                <w:color w:val="000000"/>
              </w:rPr>
            </w:pPr>
            <w:r>
              <w:rPr>
                <w:rFonts w:hint="eastAsia" w:ascii="宋体" w:hAnsi="宋体" w:cs="宋体"/>
                <w:color w:val="000000"/>
              </w:rPr>
              <w:t>第七章 从业人员监督检查数据</w:t>
            </w:r>
          </w:p>
          <w:p>
            <w:pPr>
              <w:rPr>
                <w:rFonts w:hint="eastAsia" w:ascii="宋体" w:hAnsi="宋体" w:cs="宋体"/>
                <w:color w:val="000000"/>
              </w:rPr>
            </w:pPr>
            <w:r>
              <w:rPr>
                <w:rFonts w:hint="eastAsia" w:ascii="宋体" w:hAnsi="宋体" w:cs="宋体"/>
                <w:color w:val="000000"/>
              </w:rPr>
              <w:t>第八章 信用风险分类数据</w:t>
            </w:r>
          </w:p>
          <w:p>
            <w:pPr>
              <w:rPr>
                <w:rFonts w:hint="eastAsia" w:ascii="宋体" w:hAnsi="宋体" w:cs="宋体"/>
                <w:color w:val="000000"/>
              </w:rPr>
            </w:pPr>
            <w:r>
              <w:rPr>
                <w:rFonts w:hint="eastAsia" w:ascii="宋体" w:hAnsi="宋体" w:cs="宋体"/>
                <w:color w:val="000000"/>
              </w:rPr>
              <w:t>（2）范围</w:t>
            </w:r>
          </w:p>
          <w:p>
            <w:pPr>
              <w:rPr>
                <w:rFonts w:hint="eastAsia" w:ascii="宋体" w:hAnsi="宋体" w:cs="宋体"/>
                <w:color w:val="000000"/>
              </w:rPr>
            </w:pPr>
            <w:r>
              <w:rPr>
                <w:rFonts w:hint="eastAsia" w:ascii="宋体" w:hAnsi="宋体" w:cs="宋体"/>
                <w:color w:val="000000"/>
              </w:rPr>
              <w:t>本文件规定了检验检测机构监督管理数据组成、数据项表示方法及规则、检验检测机构监督抽查数据、从业人员能力监督检查数据、检验检测机构信用风险分类数据的相关要求。</w:t>
            </w:r>
          </w:p>
          <w:p>
            <w:pPr>
              <w:rPr>
                <w:rFonts w:hint="eastAsia" w:ascii="宋体" w:hAnsi="宋体" w:cs="宋体"/>
                <w:color w:val="000000"/>
              </w:rPr>
            </w:pPr>
            <w:r>
              <w:rPr>
                <w:rFonts w:hint="eastAsia" w:ascii="宋体" w:hAnsi="宋体" w:cs="宋体"/>
                <w:color w:val="000000"/>
              </w:rPr>
              <w:t>本文件适用于相关行业主管部门、检验检测机构以及相关组织对数据的组织管理及应用。</w:t>
            </w:r>
          </w:p>
          <w:p>
            <w:pPr>
              <w:rPr>
                <w:rFonts w:hint="eastAsia" w:ascii="宋体" w:hAnsi="宋体" w:cs="宋体"/>
                <w:color w:val="000000"/>
              </w:rPr>
            </w:pPr>
            <w:r>
              <w:rPr>
                <w:rFonts w:hint="eastAsia" w:ascii="宋体" w:hAnsi="宋体" w:cs="宋体"/>
                <w:color w:val="000000"/>
              </w:rPr>
              <w:t>（3）监督抽查数据</w:t>
            </w:r>
          </w:p>
          <w:p>
            <w:pPr>
              <w:rPr>
                <w:rFonts w:hint="eastAsia" w:ascii="宋体" w:hAnsi="宋体" w:cs="宋体"/>
                <w:color w:val="000000"/>
              </w:rPr>
            </w:pPr>
            <w:r>
              <w:rPr>
                <w:rFonts w:hint="eastAsia" w:ascii="宋体" w:hAnsi="宋体"/>
              </w:rPr>
              <w:t>检验检测机构监督抽查数据包括：监督抽查计划数据、监督抽查结果数据、检查组成员</w:t>
            </w:r>
            <w:r>
              <w:rPr>
                <w:rFonts w:ascii="宋体" w:hAnsi="宋体"/>
              </w:rPr>
              <w:t>数据</w:t>
            </w:r>
            <w:r>
              <w:rPr>
                <w:rFonts w:hint="eastAsia" w:ascii="宋体" w:hAnsi="宋体" w:cs="宋体"/>
                <w:color w:val="000000"/>
              </w:rPr>
              <w:t>。</w:t>
            </w:r>
          </w:p>
          <w:p>
            <w:pPr>
              <w:rPr>
                <w:rFonts w:hint="eastAsia" w:ascii="宋体" w:hAnsi="宋体" w:cs="宋体"/>
                <w:color w:val="000000"/>
              </w:rPr>
            </w:pPr>
            <w:r>
              <w:rPr>
                <w:rFonts w:hint="eastAsia" w:ascii="宋体" w:hAnsi="宋体" w:cs="宋体"/>
                <w:color w:val="000000"/>
              </w:rPr>
              <w:t>（4）从业人员监督检查数据</w:t>
            </w:r>
          </w:p>
          <w:p>
            <w:pPr>
              <w:rPr>
                <w:rFonts w:ascii="宋体" w:hAnsi="宋体" w:cs="宋体"/>
                <w:color w:val="000000"/>
              </w:rPr>
            </w:pPr>
            <w:r>
              <w:rPr>
                <w:rFonts w:hint="eastAsia" w:ascii="宋体" w:hAnsi="宋体" w:cs="宋体"/>
                <w:color w:val="000000"/>
              </w:rPr>
              <w:t>从业人员能力监督检查数据包括：从业人员能力监督检查计划数据、从业人员能力监督检查结果数据、从业人员信用记录。</w:t>
            </w:r>
          </w:p>
          <w:p>
            <w:pPr>
              <w:rPr>
                <w:rFonts w:hint="eastAsia" w:ascii="宋体" w:hAnsi="宋体" w:cs="宋体"/>
                <w:color w:val="000000"/>
              </w:rPr>
            </w:pPr>
            <w:r>
              <w:rPr>
                <w:rFonts w:hint="eastAsia" w:ascii="宋体" w:hAnsi="宋体" w:cs="宋体"/>
                <w:color w:val="000000"/>
              </w:rPr>
              <w:t>（5）信用风险分类数据</w:t>
            </w:r>
          </w:p>
          <w:p>
            <w:pPr>
              <w:tabs>
                <w:tab w:val="left" w:pos="360"/>
              </w:tabs>
              <w:autoSpaceDE w:val="0"/>
              <w:autoSpaceDN w:val="0"/>
              <w:spacing w:before="10" w:after="10"/>
              <w:rPr>
                <w:rFonts w:hint="eastAsia" w:ascii="宋体" w:hAnsi="宋体"/>
              </w:rPr>
            </w:pPr>
            <w:r>
              <w:rPr>
                <w:rFonts w:hint="eastAsia" w:ascii="宋体" w:hAnsi="宋体"/>
              </w:rPr>
              <w:t>检验检测机构信用风险分类数据包括：基础数据、经营状况</w:t>
            </w:r>
            <w:r>
              <w:rPr>
                <w:rFonts w:ascii="宋体" w:hAnsi="宋体"/>
              </w:rPr>
              <w:t>数据</w:t>
            </w:r>
            <w:r>
              <w:rPr>
                <w:rFonts w:hint="eastAsia" w:ascii="宋体" w:hAnsi="宋体"/>
              </w:rPr>
              <w:t>、监管信息、能力水平数据、技术管理</w:t>
            </w:r>
            <w:r>
              <w:rPr>
                <w:rFonts w:ascii="宋体" w:hAnsi="宋体"/>
              </w:rPr>
              <w:t>创新数据</w:t>
            </w:r>
            <w:r>
              <w:rPr>
                <w:rFonts w:hint="eastAsia" w:ascii="宋体" w:hAnsi="宋体"/>
              </w:rPr>
              <w:t>。</w:t>
            </w:r>
          </w:p>
        </w:tc>
      </w:tr>
    </w:tbl>
    <w:p>
      <w:pPr>
        <w:rPr>
          <w:rFonts w:eastAsia="仿宋_GB2312"/>
          <w:b/>
          <w:color w:val="000000"/>
          <w:kern w:val="0"/>
          <w:sz w:val="32"/>
        </w:rPr>
      </w:pPr>
    </w:p>
    <w:tbl>
      <w:tblPr>
        <w:tblStyle w:val="38"/>
        <w:tblpPr w:leftFromText="180" w:rightFromText="180" w:vertAnchor="text" w:horzAnchor="margin" w:tblpXSpec="center" w:tblpY="169"/>
        <w:tblW w:w="962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1800"/>
        <w:gridCol w:w="6"/>
        <w:gridCol w:w="3853"/>
        <w:gridCol w:w="1315"/>
        <w:gridCol w:w="26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490" w:hRule="atLeast"/>
        </w:trPr>
        <w:tc>
          <w:tcPr>
            <w:tcW w:w="9625" w:type="dxa"/>
            <w:gridSpan w:val="5"/>
            <w:tcBorders>
              <w:top w:val="nil"/>
              <w:left w:val="nil"/>
              <w:bottom w:val="nil"/>
              <w:right w:val="nil"/>
            </w:tcBorders>
            <w:vAlign w:val="center"/>
          </w:tcPr>
          <w:p>
            <w:pPr>
              <w:rPr>
                <w:rFonts w:ascii="宋体" w:hAnsi="宋体"/>
                <w:b/>
                <w:color w:val="000000"/>
                <w:szCs w:val="21"/>
              </w:rPr>
            </w:pPr>
            <w:r>
              <w:rPr>
                <w:rFonts w:hint="eastAsia" w:ascii="宋体" w:hAnsi="宋体"/>
                <w:b/>
                <w:color w:val="000000"/>
                <w:szCs w:val="21"/>
              </w:rPr>
              <w:t>5  验证情况（基础类标准除外）</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85" w:hRule="atLeast"/>
        </w:trPr>
        <w:tc>
          <w:tcPr>
            <w:tcW w:w="1800" w:type="dxa"/>
            <w:vMerge w:val="restart"/>
            <w:tcBorders>
              <w:top w:val="single" w:color="auto" w:sz="4" w:space="0"/>
              <w:left w:val="single" w:color="auto" w:sz="4" w:space="0"/>
              <w:right w:val="single" w:color="auto" w:sz="4" w:space="0"/>
            </w:tcBorders>
            <w:vAlign w:val="center"/>
          </w:tcPr>
          <w:p>
            <w:pPr>
              <w:ind w:left="141" w:leftChars="67" w:right="48" w:rightChars="23"/>
              <w:rPr>
                <w:rFonts w:ascii="宋体" w:hAnsi="宋体"/>
                <w:color w:val="000000"/>
                <w:szCs w:val="21"/>
              </w:rPr>
            </w:pPr>
            <w:r>
              <w:rPr>
                <w:rFonts w:hint="eastAsia" w:ascii="宋体" w:hAnsi="宋体"/>
                <w:color w:val="000000"/>
                <w:szCs w:val="21"/>
              </w:rPr>
              <w:t>5.1 验证单位情况</w:t>
            </w:r>
          </w:p>
        </w:tc>
        <w:tc>
          <w:tcPr>
            <w:tcW w:w="3859" w:type="dxa"/>
            <w:gridSpan w:val="2"/>
            <w:tcBorders>
              <w:top w:val="single" w:color="auto" w:sz="4" w:space="0"/>
              <w:left w:val="single" w:color="auto" w:sz="4" w:space="0"/>
              <w:bottom w:val="single" w:color="auto" w:sz="4" w:space="0"/>
              <w:right w:val="single" w:color="auto" w:sz="4" w:space="0"/>
            </w:tcBorders>
            <w:vAlign w:val="center"/>
          </w:tcPr>
          <w:p>
            <w:pPr>
              <w:ind w:left="141" w:leftChars="67" w:right="48" w:rightChars="23"/>
              <w:jc w:val="center"/>
              <w:rPr>
                <w:rFonts w:ascii="宋体" w:hAnsi="宋体"/>
                <w:color w:val="000000"/>
                <w:szCs w:val="21"/>
              </w:rPr>
            </w:pPr>
            <w:r>
              <w:rPr>
                <w:rFonts w:hint="eastAsia" w:ascii="宋体" w:hAnsi="宋体"/>
                <w:color w:val="000000"/>
                <w:szCs w:val="21"/>
              </w:rPr>
              <w:t>验证单位</w:t>
            </w:r>
          </w:p>
        </w:tc>
        <w:tc>
          <w:tcPr>
            <w:tcW w:w="131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000000"/>
                <w:szCs w:val="21"/>
              </w:rPr>
            </w:pPr>
            <w:r>
              <w:rPr>
                <w:rFonts w:hint="eastAsia" w:ascii="宋体" w:hAnsi="宋体"/>
                <w:color w:val="000000"/>
                <w:szCs w:val="21"/>
              </w:rPr>
              <w:t>验证人员</w:t>
            </w:r>
          </w:p>
        </w:tc>
        <w:tc>
          <w:tcPr>
            <w:tcW w:w="2651"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000000"/>
                <w:szCs w:val="21"/>
              </w:rPr>
            </w:pPr>
            <w:r>
              <w:rPr>
                <w:rFonts w:hint="eastAsia" w:ascii="宋体" w:hAnsi="宋体"/>
                <w:color w:val="000000"/>
                <w:szCs w:val="21"/>
              </w:rPr>
              <w:t>验证时间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435" w:hRule="atLeast"/>
        </w:trPr>
        <w:tc>
          <w:tcPr>
            <w:tcW w:w="1800" w:type="dxa"/>
            <w:vMerge w:val="continue"/>
            <w:tcBorders>
              <w:left w:val="single" w:color="auto" w:sz="4" w:space="0"/>
              <w:right w:val="single" w:color="auto" w:sz="4" w:space="0"/>
            </w:tcBorders>
            <w:vAlign w:val="center"/>
          </w:tcPr>
          <w:p>
            <w:pPr>
              <w:ind w:left="141" w:leftChars="67" w:right="48" w:rightChars="23"/>
              <w:jc w:val="center"/>
              <w:rPr>
                <w:rFonts w:ascii="宋体" w:hAnsi="宋体"/>
                <w:color w:val="000000"/>
                <w:szCs w:val="21"/>
              </w:rPr>
            </w:pPr>
          </w:p>
        </w:tc>
        <w:tc>
          <w:tcPr>
            <w:tcW w:w="3859" w:type="dxa"/>
            <w:gridSpan w:val="2"/>
            <w:tcBorders>
              <w:top w:val="single" w:color="auto" w:sz="4" w:space="0"/>
              <w:left w:val="single" w:color="auto" w:sz="4" w:space="0"/>
              <w:bottom w:val="single" w:color="auto" w:sz="4" w:space="0"/>
              <w:right w:val="single" w:color="auto" w:sz="4" w:space="0"/>
            </w:tcBorders>
            <w:vAlign w:val="center"/>
          </w:tcPr>
          <w:p>
            <w:pPr>
              <w:ind w:left="141" w:leftChars="67" w:right="48" w:rightChars="23"/>
              <w:jc w:val="center"/>
              <w:rPr>
                <w:rFonts w:ascii="宋体" w:hAnsi="宋体"/>
                <w:color w:val="000000"/>
                <w:szCs w:val="21"/>
              </w:rPr>
            </w:pPr>
            <w:r>
              <w:rPr>
                <w:rFonts w:hint="eastAsia" w:ascii="宋体" w:hAnsi="宋体"/>
                <w:color w:val="000000"/>
                <w:szCs w:val="21"/>
                <w:lang w:val="en-US" w:eastAsia="zh-CN"/>
              </w:rPr>
              <w:t>江苏省市场监管局</w:t>
            </w:r>
          </w:p>
        </w:tc>
        <w:tc>
          <w:tcPr>
            <w:tcW w:w="131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000000"/>
                <w:szCs w:val="21"/>
              </w:rPr>
            </w:pPr>
            <w:r>
              <w:rPr>
                <w:rFonts w:hint="eastAsia" w:ascii="宋体" w:hAnsi="宋体"/>
                <w:color w:val="000000"/>
                <w:szCs w:val="21"/>
                <w:lang w:val="en-US" w:eastAsia="zh-CN"/>
              </w:rPr>
              <w:t>苗文彖</w:t>
            </w:r>
          </w:p>
        </w:tc>
        <w:tc>
          <w:tcPr>
            <w:tcW w:w="2651" w:type="dxa"/>
            <w:tcBorders>
              <w:top w:val="single" w:color="auto" w:sz="4" w:space="0"/>
              <w:left w:val="single" w:color="auto" w:sz="4" w:space="0"/>
              <w:bottom w:val="single" w:color="auto" w:sz="4" w:space="0"/>
              <w:right w:val="single" w:color="auto" w:sz="4" w:space="0"/>
            </w:tcBorders>
            <w:vAlign w:val="center"/>
          </w:tcPr>
          <w:p>
            <w:pPr>
              <w:wordWrap w:val="0"/>
              <w:jc w:val="right"/>
              <w:rPr>
                <w:rFonts w:ascii="宋体" w:hAnsi="宋体"/>
                <w:color w:val="000000"/>
                <w:szCs w:val="21"/>
              </w:rPr>
            </w:pPr>
            <w:r>
              <w:rPr>
                <w:rFonts w:hint="eastAsia" w:ascii="宋体" w:hAnsi="宋体"/>
                <w:color w:val="000000"/>
                <w:szCs w:val="21"/>
                <w:lang w:val="en-US" w:eastAsia="zh-CN"/>
              </w:rPr>
              <w:t>2026</w:t>
            </w:r>
            <w:r>
              <w:rPr>
                <w:rFonts w:ascii="宋体" w:hAnsi="宋体"/>
                <w:color w:val="000000"/>
                <w:szCs w:val="21"/>
              </w:rPr>
              <w:t>年</w:t>
            </w:r>
            <w:r>
              <w:rPr>
                <w:rFonts w:hint="eastAsia" w:ascii="宋体" w:hAnsi="宋体"/>
                <w:color w:val="000000"/>
                <w:szCs w:val="21"/>
                <w:lang w:val="en-US" w:eastAsia="zh-CN"/>
              </w:rPr>
              <w:t>9</w:t>
            </w:r>
            <w:r>
              <w:rPr>
                <w:rFonts w:ascii="宋体" w:hAnsi="宋体"/>
                <w:color w:val="000000"/>
                <w:szCs w:val="21"/>
              </w:rPr>
              <w:t>月</w:t>
            </w:r>
            <w:r>
              <w:rPr>
                <w:rFonts w:hint="eastAsia" w:ascii="宋体" w:hAnsi="宋体"/>
                <w:color w:val="000000"/>
                <w:szCs w:val="21"/>
                <w:lang w:val="en-US" w:eastAsia="zh-CN"/>
              </w:rPr>
              <w:t>15</w:t>
            </w:r>
            <w:r>
              <w:rPr>
                <w:rFonts w:ascii="宋体" w:hAnsi="宋体"/>
                <w:color w:val="000000"/>
                <w:szCs w:val="21"/>
              </w:rPr>
              <w:t>日</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435" w:hRule="atLeast"/>
        </w:trPr>
        <w:tc>
          <w:tcPr>
            <w:tcW w:w="1800" w:type="dxa"/>
            <w:vMerge w:val="continue"/>
            <w:tcBorders>
              <w:left w:val="single" w:color="auto" w:sz="4" w:space="0"/>
              <w:right w:val="single" w:color="auto" w:sz="4" w:space="0"/>
            </w:tcBorders>
            <w:vAlign w:val="center"/>
          </w:tcPr>
          <w:p>
            <w:pPr>
              <w:ind w:left="141" w:leftChars="67" w:right="48" w:rightChars="23"/>
              <w:jc w:val="center"/>
              <w:rPr>
                <w:rFonts w:ascii="宋体" w:hAnsi="宋体"/>
                <w:color w:val="000000"/>
                <w:szCs w:val="21"/>
              </w:rPr>
            </w:pPr>
          </w:p>
        </w:tc>
        <w:tc>
          <w:tcPr>
            <w:tcW w:w="3859" w:type="dxa"/>
            <w:gridSpan w:val="2"/>
            <w:tcBorders>
              <w:top w:val="single" w:color="auto" w:sz="4" w:space="0"/>
              <w:left w:val="single" w:color="auto" w:sz="4" w:space="0"/>
              <w:bottom w:val="single" w:color="auto" w:sz="4" w:space="0"/>
              <w:right w:val="single" w:color="auto" w:sz="4" w:space="0"/>
            </w:tcBorders>
            <w:vAlign w:val="center"/>
          </w:tcPr>
          <w:p>
            <w:pPr>
              <w:ind w:left="141" w:leftChars="67" w:right="48" w:rightChars="23"/>
              <w:jc w:val="center"/>
              <w:rPr>
                <w:rFonts w:ascii="宋体" w:hAnsi="宋体"/>
                <w:color w:val="000000"/>
                <w:szCs w:val="21"/>
              </w:rPr>
            </w:pPr>
            <w:r>
              <w:rPr>
                <w:rFonts w:hint="eastAsia" w:ascii="宋体" w:hAnsi="宋体"/>
                <w:color w:val="000000"/>
                <w:szCs w:val="21"/>
                <w:lang w:eastAsia="zh-CN"/>
              </w:rPr>
              <w:t>浙江省质量科学研究院</w:t>
            </w:r>
          </w:p>
        </w:tc>
        <w:tc>
          <w:tcPr>
            <w:tcW w:w="131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000000"/>
                <w:szCs w:val="21"/>
              </w:rPr>
            </w:pPr>
            <w:r>
              <w:rPr>
                <w:rFonts w:hint="eastAsia" w:ascii="宋体" w:hAnsi="宋体"/>
                <w:color w:val="000000"/>
                <w:szCs w:val="21"/>
                <w:lang w:eastAsia="zh-CN"/>
              </w:rPr>
              <w:t>刘佳莹</w:t>
            </w:r>
          </w:p>
        </w:tc>
        <w:tc>
          <w:tcPr>
            <w:tcW w:w="2651" w:type="dxa"/>
            <w:tcBorders>
              <w:top w:val="single" w:color="auto" w:sz="4" w:space="0"/>
              <w:left w:val="single" w:color="auto" w:sz="4" w:space="0"/>
              <w:bottom w:val="single" w:color="auto" w:sz="4" w:space="0"/>
              <w:right w:val="single" w:color="auto" w:sz="4" w:space="0"/>
            </w:tcBorders>
            <w:vAlign w:val="top"/>
          </w:tcPr>
          <w:p>
            <w:pPr>
              <w:jc w:val="right"/>
              <w:rPr>
                <w:rFonts w:ascii="宋体" w:hAnsi="宋体"/>
                <w:color w:val="000000"/>
                <w:szCs w:val="21"/>
              </w:rPr>
            </w:pPr>
            <w:r>
              <w:rPr>
                <w:rFonts w:hint="eastAsia" w:ascii="宋体" w:hAnsi="宋体"/>
                <w:color w:val="000000"/>
                <w:szCs w:val="21"/>
                <w:lang w:val="en-US" w:eastAsia="zh-CN"/>
              </w:rPr>
              <w:t>2026</w:t>
            </w:r>
            <w:r>
              <w:rPr>
                <w:rFonts w:ascii="宋体" w:hAnsi="宋体"/>
                <w:color w:val="000000"/>
                <w:szCs w:val="21"/>
              </w:rPr>
              <w:t>年</w:t>
            </w:r>
            <w:r>
              <w:rPr>
                <w:rFonts w:hint="eastAsia" w:ascii="宋体" w:hAnsi="宋体"/>
                <w:color w:val="000000"/>
                <w:szCs w:val="21"/>
                <w:lang w:val="en-US" w:eastAsia="zh-CN"/>
              </w:rPr>
              <w:t>9</w:t>
            </w:r>
            <w:r>
              <w:rPr>
                <w:rFonts w:ascii="宋体" w:hAnsi="宋体"/>
                <w:color w:val="000000"/>
                <w:szCs w:val="21"/>
              </w:rPr>
              <w:t>月</w:t>
            </w:r>
            <w:r>
              <w:rPr>
                <w:rFonts w:hint="eastAsia" w:ascii="宋体" w:hAnsi="宋体"/>
                <w:color w:val="000000"/>
                <w:szCs w:val="21"/>
                <w:lang w:val="en-US" w:eastAsia="zh-CN"/>
              </w:rPr>
              <w:t>16</w:t>
            </w:r>
            <w:r>
              <w:rPr>
                <w:rFonts w:ascii="宋体" w:hAnsi="宋体"/>
                <w:color w:val="000000"/>
                <w:szCs w:val="21"/>
              </w:rPr>
              <w:t>日</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435" w:hRule="atLeast"/>
        </w:trPr>
        <w:tc>
          <w:tcPr>
            <w:tcW w:w="1800" w:type="dxa"/>
            <w:vMerge w:val="continue"/>
            <w:tcBorders>
              <w:left w:val="single" w:color="auto" w:sz="4" w:space="0"/>
              <w:right w:val="single" w:color="auto" w:sz="4" w:space="0"/>
            </w:tcBorders>
            <w:vAlign w:val="center"/>
          </w:tcPr>
          <w:p>
            <w:pPr>
              <w:ind w:left="141" w:leftChars="67" w:right="48" w:rightChars="23"/>
              <w:jc w:val="center"/>
              <w:rPr>
                <w:rFonts w:ascii="宋体" w:hAnsi="宋体"/>
                <w:color w:val="000000"/>
                <w:szCs w:val="21"/>
              </w:rPr>
            </w:pPr>
          </w:p>
        </w:tc>
        <w:tc>
          <w:tcPr>
            <w:tcW w:w="3859" w:type="dxa"/>
            <w:gridSpan w:val="2"/>
            <w:tcBorders>
              <w:top w:val="single" w:color="auto" w:sz="4" w:space="0"/>
              <w:left w:val="single" w:color="auto" w:sz="4" w:space="0"/>
              <w:bottom w:val="single" w:color="auto" w:sz="4" w:space="0"/>
              <w:right w:val="single" w:color="auto" w:sz="4" w:space="0"/>
            </w:tcBorders>
            <w:vAlign w:val="center"/>
          </w:tcPr>
          <w:p>
            <w:pPr>
              <w:ind w:left="141" w:leftChars="67" w:right="48" w:rightChars="23"/>
              <w:jc w:val="center"/>
              <w:rPr>
                <w:rFonts w:ascii="宋体" w:hAnsi="宋体"/>
                <w:color w:val="000000"/>
                <w:szCs w:val="21"/>
              </w:rPr>
            </w:pPr>
            <w:r>
              <w:rPr>
                <w:rFonts w:hint="eastAsia" w:eastAsia="宋体"/>
                <w:highlight w:val="none"/>
                <w:lang w:val="en-US" w:eastAsia="zh-CN"/>
              </w:rPr>
              <w:t>国家市场监督管理总局认证认可技术研究中心</w:t>
            </w:r>
          </w:p>
        </w:tc>
        <w:tc>
          <w:tcPr>
            <w:tcW w:w="1315"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olor w:val="000000"/>
                <w:szCs w:val="21"/>
                <w:lang w:eastAsia="zh-CN"/>
              </w:rPr>
            </w:pPr>
            <w:r>
              <w:rPr>
                <w:rFonts w:hint="eastAsia" w:ascii="宋体" w:hAnsi="宋体" w:cs="宋体"/>
                <w:color w:val="000000"/>
                <w:lang w:eastAsia="zh-CN"/>
              </w:rPr>
              <w:t>刘迈</w:t>
            </w:r>
          </w:p>
        </w:tc>
        <w:tc>
          <w:tcPr>
            <w:tcW w:w="2651" w:type="dxa"/>
            <w:tcBorders>
              <w:top w:val="single" w:color="auto" w:sz="4" w:space="0"/>
              <w:left w:val="single" w:color="auto" w:sz="4" w:space="0"/>
              <w:bottom w:val="single" w:color="auto" w:sz="4" w:space="0"/>
              <w:right w:val="single" w:color="auto" w:sz="4" w:space="0"/>
            </w:tcBorders>
          </w:tcPr>
          <w:p>
            <w:pPr>
              <w:jc w:val="right"/>
              <w:rPr>
                <w:rFonts w:ascii="宋体" w:hAnsi="宋体"/>
                <w:color w:val="000000"/>
                <w:szCs w:val="21"/>
              </w:rPr>
            </w:pPr>
            <w:r>
              <w:rPr>
                <w:rFonts w:hint="eastAsia" w:ascii="宋体" w:hAnsi="宋体"/>
                <w:color w:val="000000"/>
                <w:szCs w:val="21"/>
                <w:lang w:val="en-US" w:eastAsia="zh-CN"/>
              </w:rPr>
              <w:t>2026</w:t>
            </w:r>
            <w:r>
              <w:rPr>
                <w:rFonts w:ascii="宋体" w:hAnsi="宋体"/>
                <w:color w:val="000000"/>
                <w:szCs w:val="21"/>
              </w:rPr>
              <w:t>年</w:t>
            </w:r>
            <w:r>
              <w:rPr>
                <w:rFonts w:hint="eastAsia" w:ascii="宋体" w:hAnsi="宋体"/>
                <w:color w:val="000000"/>
                <w:szCs w:val="21"/>
                <w:lang w:val="en-US" w:eastAsia="zh-CN"/>
              </w:rPr>
              <w:t>10</w:t>
            </w:r>
            <w:r>
              <w:rPr>
                <w:rFonts w:ascii="宋体" w:hAnsi="宋体"/>
                <w:color w:val="000000"/>
                <w:szCs w:val="21"/>
              </w:rPr>
              <w:t>月</w:t>
            </w:r>
            <w:r>
              <w:rPr>
                <w:rFonts w:hint="eastAsia" w:ascii="宋体" w:hAnsi="宋体"/>
                <w:color w:val="000000"/>
                <w:szCs w:val="21"/>
                <w:lang w:val="en-US" w:eastAsia="zh-CN"/>
              </w:rPr>
              <w:t>11日</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435" w:hRule="atLeast"/>
        </w:trPr>
        <w:tc>
          <w:tcPr>
            <w:tcW w:w="1800" w:type="dxa"/>
            <w:vMerge w:val="continue"/>
            <w:tcBorders>
              <w:left w:val="single" w:color="auto" w:sz="4" w:space="0"/>
              <w:right w:val="single" w:color="auto" w:sz="4" w:space="0"/>
            </w:tcBorders>
            <w:vAlign w:val="center"/>
          </w:tcPr>
          <w:p>
            <w:pPr>
              <w:ind w:left="141" w:leftChars="67" w:right="48" w:rightChars="23"/>
              <w:jc w:val="center"/>
              <w:rPr>
                <w:rFonts w:ascii="宋体" w:hAnsi="宋体"/>
                <w:color w:val="000000"/>
                <w:szCs w:val="21"/>
              </w:rPr>
            </w:pPr>
          </w:p>
        </w:tc>
        <w:tc>
          <w:tcPr>
            <w:tcW w:w="3859"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000000"/>
                <w:szCs w:val="21"/>
              </w:rPr>
            </w:pPr>
            <w:r>
              <w:rPr>
                <w:rFonts w:hint="eastAsia" w:eastAsia="宋体"/>
                <w:highlight w:val="none"/>
                <w:lang w:val="en-US" w:eastAsia="zh-CN"/>
              </w:rPr>
              <w:t>四川省市场监督管理局</w:t>
            </w:r>
          </w:p>
        </w:tc>
        <w:tc>
          <w:tcPr>
            <w:tcW w:w="131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000000"/>
                <w:szCs w:val="21"/>
              </w:rPr>
            </w:pPr>
            <w:r>
              <w:rPr>
                <w:rFonts w:hint="eastAsia" w:eastAsia="宋体"/>
                <w:highlight w:val="none"/>
                <w:lang w:val="en-US" w:eastAsia="zh-CN"/>
              </w:rPr>
              <w:t>邹睿</w:t>
            </w:r>
          </w:p>
        </w:tc>
        <w:tc>
          <w:tcPr>
            <w:tcW w:w="2651" w:type="dxa"/>
            <w:tcBorders>
              <w:top w:val="single" w:color="auto" w:sz="4" w:space="0"/>
              <w:left w:val="single" w:color="auto" w:sz="4" w:space="0"/>
              <w:bottom w:val="single" w:color="auto" w:sz="4" w:space="0"/>
              <w:right w:val="single" w:color="auto" w:sz="4" w:space="0"/>
            </w:tcBorders>
          </w:tcPr>
          <w:p>
            <w:pPr>
              <w:jc w:val="right"/>
              <w:rPr>
                <w:rFonts w:ascii="宋体" w:hAnsi="宋体"/>
                <w:color w:val="000000"/>
                <w:szCs w:val="21"/>
              </w:rPr>
            </w:pPr>
            <w:r>
              <w:rPr>
                <w:rFonts w:hint="eastAsia" w:ascii="宋体" w:hAnsi="宋体"/>
                <w:color w:val="000000"/>
                <w:szCs w:val="21"/>
                <w:lang w:val="en-US" w:eastAsia="zh-CN"/>
              </w:rPr>
              <w:t>2026</w:t>
            </w:r>
            <w:r>
              <w:rPr>
                <w:rFonts w:ascii="宋体" w:hAnsi="宋体"/>
                <w:color w:val="000000"/>
                <w:szCs w:val="21"/>
              </w:rPr>
              <w:t>年</w:t>
            </w:r>
            <w:r>
              <w:rPr>
                <w:rFonts w:hint="eastAsia" w:ascii="宋体" w:hAnsi="宋体"/>
                <w:color w:val="000000"/>
                <w:szCs w:val="21"/>
                <w:lang w:val="en-US" w:eastAsia="zh-CN"/>
              </w:rPr>
              <w:t>10</w:t>
            </w:r>
            <w:r>
              <w:rPr>
                <w:rFonts w:ascii="宋体" w:hAnsi="宋体"/>
                <w:color w:val="000000"/>
                <w:szCs w:val="21"/>
              </w:rPr>
              <w:t>月</w:t>
            </w:r>
            <w:r>
              <w:rPr>
                <w:rFonts w:hint="eastAsia" w:ascii="宋体" w:hAnsi="宋体"/>
                <w:color w:val="000000"/>
                <w:szCs w:val="21"/>
                <w:lang w:val="en-US" w:eastAsia="zh-CN"/>
              </w:rPr>
              <w:t>11日</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435" w:hRule="atLeast"/>
        </w:trPr>
        <w:tc>
          <w:tcPr>
            <w:tcW w:w="1800" w:type="dxa"/>
            <w:vMerge w:val="continue"/>
            <w:tcBorders>
              <w:left w:val="single" w:color="auto" w:sz="4" w:space="0"/>
              <w:right w:val="single" w:color="auto" w:sz="4" w:space="0"/>
            </w:tcBorders>
            <w:vAlign w:val="center"/>
          </w:tcPr>
          <w:p>
            <w:pPr>
              <w:ind w:left="141" w:leftChars="67" w:right="48" w:rightChars="23"/>
              <w:jc w:val="center"/>
              <w:rPr>
                <w:rFonts w:ascii="宋体" w:hAnsi="宋体"/>
                <w:color w:val="000000"/>
                <w:szCs w:val="21"/>
              </w:rPr>
            </w:pPr>
          </w:p>
        </w:tc>
        <w:tc>
          <w:tcPr>
            <w:tcW w:w="3859"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000000"/>
                <w:szCs w:val="21"/>
              </w:rPr>
            </w:pPr>
            <w:r>
              <w:rPr>
                <w:rFonts w:hint="eastAsia" w:eastAsia="宋体"/>
                <w:highlight w:val="none"/>
                <w:lang w:val="en-US" w:eastAsia="zh-CN"/>
              </w:rPr>
              <w:t>四川省市场监督管理局数据应用中心</w:t>
            </w:r>
          </w:p>
        </w:tc>
        <w:tc>
          <w:tcPr>
            <w:tcW w:w="131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000000"/>
                <w:szCs w:val="21"/>
              </w:rPr>
            </w:pPr>
            <w:r>
              <w:rPr>
                <w:rFonts w:hint="eastAsia" w:eastAsia="宋体"/>
                <w:highlight w:val="none"/>
                <w:lang w:val="en-US" w:eastAsia="zh-CN"/>
              </w:rPr>
              <w:t>潘登</w:t>
            </w:r>
          </w:p>
        </w:tc>
        <w:tc>
          <w:tcPr>
            <w:tcW w:w="2651" w:type="dxa"/>
            <w:tcBorders>
              <w:top w:val="single" w:color="auto" w:sz="4" w:space="0"/>
              <w:left w:val="single" w:color="auto" w:sz="4" w:space="0"/>
              <w:bottom w:val="single" w:color="auto" w:sz="4" w:space="0"/>
              <w:right w:val="single" w:color="auto" w:sz="4" w:space="0"/>
            </w:tcBorders>
          </w:tcPr>
          <w:p>
            <w:pPr>
              <w:jc w:val="right"/>
              <w:rPr>
                <w:rFonts w:ascii="宋体" w:hAnsi="宋体"/>
                <w:color w:val="000000"/>
                <w:szCs w:val="21"/>
              </w:rPr>
            </w:pPr>
            <w:r>
              <w:rPr>
                <w:rFonts w:hint="eastAsia" w:ascii="宋体" w:hAnsi="宋体" w:cs="宋体"/>
                <w:color w:val="000000"/>
                <w:lang w:val="en-US" w:eastAsia="zh-CN"/>
              </w:rPr>
              <w:t>2026年10月11日</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1776" w:hRule="atLeast"/>
        </w:trPr>
        <w:tc>
          <w:tcPr>
            <w:tcW w:w="1806" w:type="dxa"/>
            <w:gridSpan w:val="2"/>
            <w:tcBorders>
              <w:top w:val="single" w:color="auto" w:sz="4" w:space="0"/>
              <w:left w:val="single" w:color="auto" w:sz="4" w:space="0"/>
              <w:bottom w:val="single" w:color="auto" w:sz="4" w:space="0"/>
              <w:right w:val="single" w:color="auto" w:sz="4" w:space="0"/>
            </w:tcBorders>
            <w:vAlign w:val="center"/>
          </w:tcPr>
          <w:p>
            <w:pPr>
              <w:ind w:left="141" w:leftChars="67" w:right="48" w:rightChars="23"/>
              <w:rPr>
                <w:rFonts w:ascii="宋体" w:hAnsi="宋体"/>
                <w:color w:val="000000"/>
                <w:szCs w:val="21"/>
              </w:rPr>
            </w:pPr>
            <w:r>
              <w:rPr>
                <w:rFonts w:ascii="宋体" w:hAnsi="宋体"/>
                <w:color w:val="000000"/>
                <w:szCs w:val="21"/>
              </w:rPr>
              <w:t>5.2</w:t>
            </w:r>
            <w:r>
              <w:rPr>
                <w:rFonts w:hint="eastAsia" w:ascii="宋体" w:hAnsi="宋体"/>
                <w:color w:val="000000"/>
                <w:szCs w:val="21"/>
              </w:rPr>
              <w:t>试验、 验证、试行过程</w:t>
            </w:r>
          </w:p>
        </w:tc>
        <w:tc>
          <w:tcPr>
            <w:tcW w:w="7819" w:type="dxa"/>
            <w:gridSpan w:val="3"/>
            <w:tcBorders>
              <w:top w:val="single" w:color="auto" w:sz="4" w:space="0"/>
              <w:left w:val="single" w:color="auto" w:sz="4" w:space="0"/>
              <w:bottom w:val="single" w:color="auto" w:sz="4" w:space="0"/>
              <w:right w:val="single" w:color="auto" w:sz="4" w:space="0"/>
            </w:tcBorders>
            <w:vAlign w:val="center"/>
          </w:tcPr>
          <w:p>
            <w:pPr>
              <w:ind w:firstLine="315" w:firstLineChars="150"/>
              <w:rPr>
                <w:rFonts w:ascii="宋体" w:hAnsi="宋体"/>
                <w:color w:val="000000"/>
                <w:szCs w:val="21"/>
              </w:rPr>
            </w:pPr>
            <w:r>
              <w:rPr>
                <w:rFonts w:hint="eastAsia" w:ascii="宋体" w:hAnsi="宋体"/>
                <w:color w:val="000000"/>
                <w:szCs w:val="21"/>
                <w:lang w:val="en-US" w:eastAsia="zh-CN"/>
              </w:rPr>
              <w:t>验证单位于2026年9月、10月</w:t>
            </w:r>
            <w:bookmarkStart w:id="0" w:name="_GoBack"/>
            <w:bookmarkEnd w:id="0"/>
            <w:r>
              <w:rPr>
                <w:rFonts w:hint="eastAsia" w:ascii="宋体" w:hAnsi="宋体"/>
                <w:color w:val="000000"/>
                <w:szCs w:val="21"/>
                <w:lang w:val="en-US" w:eastAsia="zh-CN"/>
              </w:rPr>
              <w:t>期间，依据《</w:t>
            </w:r>
            <w:sdt>
              <w:sdtPr>
                <w:rPr>
                  <w:color w:val="000000" w:themeColor="text1"/>
                </w:rPr>
                <w:tag w:val="NEW_STAND_NAME"/>
                <w:id w:val="595910757"/>
                <w:lock w:val="sdtLocked"/>
                <w:placeholder>
                  <w:docPart w:val="{adfa7c9f-6980-41d6-9e5c-b22d6cdcf0d2}"/>
                </w:placeholder>
              </w:sdtPr>
              <w:sdtEndPr>
                <w:rPr>
                  <w:color w:val="000000" w:themeColor="text1"/>
                </w:rPr>
              </w:sdtEndPr>
              <w:sdtContent>
                <w:r>
                  <w:rPr>
                    <w:rFonts w:hint="eastAsia"/>
                    <w:color w:val="000000" w:themeColor="text1"/>
                  </w:rPr>
                  <w:t>检验检测机构</w:t>
                </w:r>
                <w:r>
                  <w:rPr>
                    <w:rFonts w:hint="eastAsia"/>
                    <w:color w:val="000000" w:themeColor="text1"/>
                    <w:lang w:eastAsia="zh-CN"/>
                  </w:rPr>
                  <w:t>监督管理</w:t>
                </w:r>
                <w:r>
                  <w:rPr>
                    <w:rFonts w:hint="eastAsia"/>
                    <w:color w:val="000000" w:themeColor="text1"/>
                  </w:rPr>
                  <w:t>数据规范</w:t>
                </w:r>
              </w:sdtContent>
            </w:sdt>
            <w:r>
              <w:rPr>
                <w:rFonts w:hint="eastAsia" w:ascii="宋体" w:hAnsi="宋体"/>
                <w:color w:val="000000"/>
                <w:szCs w:val="21"/>
                <w:lang w:val="en-US" w:eastAsia="zh-CN"/>
              </w:rPr>
              <w:t>》（草案稿开展了验证工作。验证过程中，各单位均对标准内容的适用性、完整性和可操作性进行了实际检验。后续征求意见过程中可以进一步验证。</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1698" w:hRule="atLeast"/>
        </w:trPr>
        <w:tc>
          <w:tcPr>
            <w:tcW w:w="1806" w:type="dxa"/>
            <w:gridSpan w:val="2"/>
            <w:tcBorders>
              <w:top w:val="single" w:color="auto" w:sz="4" w:space="0"/>
              <w:left w:val="single" w:color="auto" w:sz="4" w:space="0"/>
              <w:bottom w:val="single" w:color="auto" w:sz="4" w:space="0"/>
              <w:right w:val="single" w:color="auto" w:sz="4" w:space="0"/>
            </w:tcBorders>
            <w:vAlign w:val="center"/>
          </w:tcPr>
          <w:p>
            <w:pPr>
              <w:ind w:left="141" w:leftChars="67" w:right="48" w:rightChars="23"/>
              <w:rPr>
                <w:rFonts w:ascii="宋体" w:hAnsi="宋体"/>
                <w:color w:val="000000"/>
                <w:szCs w:val="21"/>
              </w:rPr>
            </w:pPr>
            <w:r>
              <w:rPr>
                <w:rFonts w:hint="eastAsia" w:ascii="宋体" w:hAnsi="宋体"/>
                <w:color w:val="000000"/>
                <w:szCs w:val="21"/>
              </w:rPr>
              <w:t>5.3 验证数据分析</w:t>
            </w:r>
          </w:p>
        </w:tc>
        <w:tc>
          <w:tcPr>
            <w:tcW w:w="7819" w:type="dxa"/>
            <w:gridSpan w:val="3"/>
            <w:tcBorders>
              <w:top w:val="single" w:color="auto" w:sz="4" w:space="0"/>
              <w:left w:val="single" w:color="auto" w:sz="4" w:space="0"/>
              <w:bottom w:val="single" w:color="auto" w:sz="4" w:space="0"/>
              <w:right w:val="single" w:color="auto" w:sz="4" w:space="0"/>
            </w:tcBorders>
            <w:vAlign w:val="center"/>
          </w:tcPr>
          <w:p>
            <w:pPr>
              <w:rPr>
                <w:rFonts w:hint="eastAsia" w:ascii="宋体" w:hAnsi="宋体" w:eastAsia="宋体"/>
                <w:color w:val="000000"/>
                <w:szCs w:val="21"/>
                <w:lang w:eastAsia="zh-CN"/>
              </w:rPr>
            </w:pPr>
            <w:r>
              <w:rPr>
                <w:rFonts w:hint="eastAsia" w:ascii="宋体" w:hAnsi="宋体" w:cs="宋体"/>
                <w:color w:val="000000"/>
              </w:rPr>
              <w:t>验证工作围绕数据项覆盖度、命名规范性、数据类型与数据格式适用性、值域完整性等方面展开，重点核查标准数据项与现有业务系统数据资源的匹配程度</w:t>
            </w:r>
            <w:r>
              <w:rPr>
                <w:rFonts w:hint="eastAsia" w:ascii="宋体" w:hAnsi="宋体" w:cs="宋体"/>
                <w:color w:val="000000"/>
                <w:lang w:eastAsia="zh-CN"/>
              </w:rPr>
              <w:t>。</w:t>
            </w:r>
            <w:r>
              <w:rPr>
                <w:rFonts w:hint="eastAsia" w:ascii="宋体" w:hAnsi="宋体"/>
                <w:color w:val="000000"/>
                <w:szCs w:val="21"/>
                <w:lang w:val="en-US" w:eastAsia="zh-CN"/>
              </w:rPr>
              <w:t>各验证单位在验证过程中均未提出重大修改意见，标准框架和技术要求在实际操作中运行良好，未发现结构性或执行性障碍。</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2505" w:hRule="atLeast"/>
        </w:trPr>
        <w:tc>
          <w:tcPr>
            <w:tcW w:w="1806" w:type="dxa"/>
            <w:gridSpan w:val="2"/>
            <w:tcBorders>
              <w:top w:val="single" w:color="auto" w:sz="4" w:space="0"/>
              <w:left w:val="single" w:color="auto" w:sz="4" w:space="0"/>
              <w:bottom w:val="single" w:color="auto" w:sz="4" w:space="0"/>
              <w:right w:val="single" w:color="auto" w:sz="4" w:space="0"/>
            </w:tcBorders>
            <w:vAlign w:val="center"/>
          </w:tcPr>
          <w:p>
            <w:pPr>
              <w:ind w:left="141" w:leftChars="67" w:right="48" w:rightChars="23"/>
              <w:rPr>
                <w:rFonts w:ascii="宋体" w:hAnsi="宋体"/>
                <w:color w:val="000000"/>
                <w:szCs w:val="21"/>
              </w:rPr>
            </w:pPr>
            <w:r>
              <w:rPr>
                <w:rFonts w:ascii="宋体" w:hAnsi="宋体"/>
                <w:color w:val="000000"/>
                <w:szCs w:val="21"/>
              </w:rPr>
              <w:t xml:space="preserve">5.4 </w:t>
            </w:r>
            <w:r>
              <w:rPr>
                <w:rFonts w:hint="eastAsia" w:ascii="宋体" w:hAnsi="宋体"/>
                <w:color w:val="000000"/>
                <w:szCs w:val="21"/>
              </w:rPr>
              <w:t>试验、验证、试行评价</w:t>
            </w:r>
          </w:p>
        </w:tc>
        <w:tc>
          <w:tcPr>
            <w:tcW w:w="7819" w:type="dxa"/>
            <w:gridSpan w:val="3"/>
            <w:tcBorders>
              <w:top w:val="single" w:color="auto" w:sz="4" w:space="0"/>
              <w:left w:val="single" w:color="auto" w:sz="4" w:space="0"/>
              <w:bottom w:val="single" w:color="auto" w:sz="4" w:space="0"/>
              <w:right w:val="single" w:color="auto" w:sz="4" w:space="0"/>
            </w:tcBorders>
            <w:vAlign w:val="center"/>
          </w:tcPr>
          <w:p>
            <w:pPr>
              <w:rPr>
                <w:rFonts w:ascii="宋体" w:hAnsi="宋体"/>
                <w:color w:val="000000"/>
                <w:szCs w:val="21"/>
              </w:rPr>
            </w:pPr>
            <w:r>
              <w:rPr>
                <w:rFonts w:hint="eastAsia" w:ascii="宋体" w:hAnsi="宋体" w:eastAsia="宋体" w:cs="Times New Roman"/>
                <w:color w:val="000000"/>
                <w:szCs w:val="21"/>
                <w:lang w:val="en-US" w:eastAsia="zh-CN"/>
              </w:rPr>
              <w:t>综合验证单位的应用实践证明，《</w:t>
            </w:r>
            <w:sdt>
              <w:sdtPr>
                <w:rPr>
                  <w:rFonts w:hint="eastAsia" w:ascii="宋体" w:hAnsi="宋体" w:eastAsia="宋体" w:cs="Times New Roman"/>
                  <w:color w:val="000000"/>
                  <w:szCs w:val="21"/>
                  <w:lang w:val="en-US" w:eastAsia="zh-CN"/>
                </w:rPr>
                <w:tag w:val="NEW_STAND_NAME"/>
                <w:id w:val="595910757"/>
                <w:lock w:val="sdtLocked"/>
                <w:placeholder>
                  <w:docPart w:val="{edc7e85a-b040-4bd5-bebb-793db8dafd3a}"/>
                </w:placeholder>
              </w:sdtPr>
              <w:sdtEndPr>
                <w:rPr>
                  <w:rFonts w:hint="eastAsia" w:ascii="宋体" w:hAnsi="宋体" w:eastAsia="宋体" w:cs="Times New Roman"/>
                  <w:color w:val="000000"/>
                  <w:szCs w:val="21"/>
                  <w:lang w:val="en-US" w:eastAsia="zh-CN"/>
                </w:rPr>
              </w:sdtEndPr>
              <w:sdtContent>
                <w:r>
                  <w:rPr>
                    <w:rFonts w:hint="eastAsia" w:ascii="宋体" w:hAnsi="宋体" w:eastAsia="宋体" w:cs="Times New Roman"/>
                    <w:color w:val="000000"/>
                    <w:szCs w:val="21"/>
                    <w:lang w:val="en-US" w:eastAsia="zh-CN"/>
                  </w:rPr>
                  <w:t>检验检测机构</w:t>
                </w:r>
                <w:r>
                  <w:rPr>
                    <w:rFonts w:hint="eastAsia" w:ascii="宋体" w:hAnsi="宋体" w:cs="Times New Roman"/>
                    <w:color w:val="000000"/>
                    <w:szCs w:val="21"/>
                    <w:lang w:val="en-US" w:eastAsia="zh-CN"/>
                  </w:rPr>
                  <w:t>监督管理</w:t>
                </w:r>
                <w:r>
                  <w:rPr>
                    <w:rFonts w:hint="eastAsia" w:ascii="宋体" w:hAnsi="宋体" w:eastAsia="宋体" w:cs="Times New Roman"/>
                    <w:color w:val="000000"/>
                    <w:szCs w:val="21"/>
                    <w:lang w:val="en-US" w:eastAsia="zh-CN"/>
                  </w:rPr>
                  <w:t>数据规范</w:t>
                </w:r>
              </w:sdtContent>
            </w:sdt>
            <w:r>
              <w:rPr>
                <w:rFonts w:hint="eastAsia" w:ascii="宋体" w:hAnsi="宋体" w:eastAsia="宋体" w:cs="Times New Roman"/>
                <w:color w:val="000000"/>
                <w:szCs w:val="21"/>
                <w:lang w:val="en-US" w:eastAsia="zh-CN"/>
              </w:rPr>
              <w:t>》（草案稿）框架完整、技术要求明确、可操作性强，适用于相关行业主管部门、检验检测机构以及相关组织对数据的组织管理及应用，具备良好的实践应用与推广价值，建议进一步推广应用。</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2026" w:hRule="atLeast"/>
        </w:trPr>
        <w:tc>
          <w:tcPr>
            <w:tcW w:w="1806" w:type="dxa"/>
            <w:gridSpan w:val="2"/>
            <w:tcBorders>
              <w:top w:val="single" w:color="auto" w:sz="4" w:space="0"/>
              <w:left w:val="single" w:color="auto" w:sz="4" w:space="0"/>
              <w:bottom w:val="single" w:color="auto" w:sz="4" w:space="0"/>
              <w:right w:val="single" w:color="auto" w:sz="4" w:space="0"/>
            </w:tcBorders>
            <w:vAlign w:val="center"/>
          </w:tcPr>
          <w:p>
            <w:pPr>
              <w:ind w:left="141" w:leftChars="67" w:right="48" w:rightChars="23"/>
              <w:rPr>
                <w:rFonts w:ascii="宋体" w:hAnsi="宋体"/>
                <w:color w:val="000000"/>
                <w:szCs w:val="21"/>
              </w:rPr>
            </w:pPr>
            <w:r>
              <w:rPr>
                <w:rFonts w:hint="eastAsia" w:ascii="宋体" w:hAnsi="宋体"/>
                <w:color w:val="000000"/>
                <w:szCs w:val="21"/>
              </w:rPr>
              <w:t>5.5 其他应说明的情况</w:t>
            </w:r>
          </w:p>
        </w:tc>
        <w:tc>
          <w:tcPr>
            <w:tcW w:w="7819" w:type="dxa"/>
            <w:gridSpan w:val="3"/>
            <w:tcBorders>
              <w:top w:val="single" w:color="auto" w:sz="4" w:space="0"/>
              <w:left w:val="single" w:color="auto" w:sz="4" w:space="0"/>
              <w:bottom w:val="single" w:color="auto" w:sz="4" w:space="0"/>
              <w:right w:val="single" w:color="auto" w:sz="4" w:space="0"/>
            </w:tcBorders>
            <w:vAlign w:val="center"/>
          </w:tcPr>
          <w:p>
            <w:pPr>
              <w:rPr>
                <w:rFonts w:ascii="宋体" w:hAnsi="宋体"/>
                <w:color w:val="000000"/>
                <w:szCs w:val="21"/>
              </w:rPr>
            </w:pPr>
            <w:r>
              <w:rPr>
                <w:rFonts w:hint="eastAsia" w:ascii="宋体" w:hAnsi="宋体"/>
                <w:color w:val="000000"/>
                <w:szCs w:val="21"/>
              </w:rPr>
              <w:t>/</w:t>
            </w:r>
          </w:p>
        </w:tc>
      </w:tr>
    </w:tbl>
    <w:p>
      <w:pPr>
        <w:rPr>
          <w:rFonts w:eastAsia="仿宋_GB2312"/>
          <w:b/>
          <w:color w:val="000000"/>
          <w:kern w:val="0"/>
          <w:sz w:val="32"/>
        </w:rPr>
      </w:pPr>
    </w:p>
    <w:p>
      <w:pPr>
        <w:rPr>
          <w:rFonts w:eastAsia="仿宋_GB2312"/>
          <w:b/>
          <w:color w:val="000000"/>
          <w:kern w:val="0"/>
          <w:sz w:val="32"/>
        </w:rPr>
      </w:pPr>
    </w:p>
    <w:p>
      <w:pPr>
        <w:rPr>
          <w:rFonts w:eastAsia="仿宋_GB2312"/>
          <w:b/>
          <w:color w:val="000000"/>
          <w:kern w:val="0"/>
          <w:sz w:val="32"/>
        </w:rPr>
      </w:pPr>
    </w:p>
    <w:tbl>
      <w:tblPr>
        <w:tblStyle w:val="38"/>
        <w:tblpPr w:leftFromText="180" w:rightFromText="180" w:vertAnchor="text" w:horzAnchor="margin" w:tblpXSpec="center" w:tblpY="169"/>
        <w:tblW w:w="962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1794"/>
        <w:gridCol w:w="6"/>
        <w:gridCol w:w="1288"/>
        <w:gridCol w:w="1080"/>
        <w:gridCol w:w="1620"/>
        <w:gridCol w:w="1440"/>
        <w:gridCol w:w="2397"/>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458" w:hRule="atLeast"/>
        </w:trPr>
        <w:tc>
          <w:tcPr>
            <w:tcW w:w="9625" w:type="dxa"/>
            <w:gridSpan w:val="7"/>
            <w:tcBorders>
              <w:top w:val="nil"/>
              <w:left w:val="nil"/>
              <w:bottom w:val="nil"/>
              <w:right w:val="nil"/>
            </w:tcBorders>
            <w:vAlign w:val="center"/>
          </w:tcPr>
          <w:p>
            <w:pPr>
              <w:rPr>
                <w:rFonts w:ascii="宋体" w:hAnsi="宋体"/>
                <w:b/>
                <w:color w:val="000000"/>
                <w:szCs w:val="21"/>
              </w:rPr>
            </w:pPr>
            <w:r>
              <w:rPr>
                <w:rFonts w:hint="eastAsia" w:ascii="宋体" w:hAnsi="宋体"/>
                <w:b/>
                <w:color w:val="000000"/>
                <w:szCs w:val="21"/>
              </w:rPr>
              <w:t>6  附加说明（可选项）</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1701" w:hRule="atLeast"/>
        </w:trPr>
        <w:tc>
          <w:tcPr>
            <w:tcW w:w="1794" w:type="dxa"/>
            <w:tcBorders>
              <w:top w:val="single" w:color="auto" w:sz="4" w:space="0"/>
              <w:left w:val="single" w:color="auto" w:sz="4" w:space="0"/>
              <w:bottom w:val="single" w:color="auto" w:sz="4" w:space="0"/>
              <w:right w:val="single" w:color="auto" w:sz="4" w:space="0"/>
            </w:tcBorders>
            <w:vAlign w:val="center"/>
          </w:tcPr>
          <w:p>
            <w:pPr>
              <w:ind w:left="141" w:leftChars="67" w:right="176" w:rightChars="84"/>
              <w:rPr>
                <w:rFonts w:ascii="宋体" w:hAnsi="宋体"/>
                <w:color w:val="000000"/>
                <w:szCs w:val="21"/>
              </w:rPr>
            </w:pPr>
            <w:r>
              <w:rPr>
                <w:rFonts w:hint="eastAsia" w:ascii="宋体" w:hAnsi="宋体"/>
                <w:color w:val="000000"/>
                <w:szCs w:val="21"/>
              </w:rPr>
              <w:t>6.1 宣贯标准的建议</w:t>
            </w:r>
          </w:p>
        </w:tc>
        <w:tc>
          <w:tcPr>
            <w:tcW w:w="7831" w:type="dxa"/>
            <w:gridSpan w:val="6"/>
            <w:tcBorders>
              <w:top w:val="single" w:color="auto" w:sz="4" w:space="0"/>
              <w:left w:val="single" w:color="auto" w:sz="4" w:space="0"/>
              <w:bottom w:val="single" w:color="auto" w:sz="4" w:space="0"/>
              <w:right w:val="single" w:color="auto" w:sz="4" w:space="0"/>
            </w:tcBorders>
            <w:vAlign w:val="center"/>
          </w:tcPr>
          <w:p>
            <w:pPr>
              <w:rPr>
                <w:rFonts w:hint="eastAsia" w:ascii="宋体" w:hAnsi="宋体" w:eastAsia="宋体"/>
                <w:color w:val="000000"/>
                <w:szCs w:val="21"/>
                <w:lang w:val="en-US" w:eastAsia="zh-CN"/>
              </w:rPr>
            </w:pPr>
            <w:r>
              <w:rPr>
                <w:rFonts w:hint="eastAsia" w:ascii="宋体" w:hAnsi="宋体"/>
                <w:color w:val="000000"/>
                <w:szCs w:val="21"/>
                <w:lang w:val="en-US" w:eastAsia="zh-CN"/>
              </w:rPr>
              <w:t>/</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1838" w:hRule="atLeast"/>
        </w:trPr>
        <w:tc>
          <w:tcPr>
            <w:tcW w:w="1794" w:type="dxa"/>
            <w:tcBorders>
              <w:top w:val="single" w:color="auto" w:sz="4" w:space="0"/>
              <w:left w:val="single" w:color="auto" w:sz="4" w:space="0"/>
              <w:bottom w:val="single" w:color="auto" w:sz="4" w:space="0"/>
              <w:right w:val="single" w:color="auto" w:sz="4" w:space="0"/>
            </w:tcBorders>
            <w:vAlign w:val="center"/>
          </w:tcPr>
          <w:p>
            <w:pPr>
              <w:ind w:left="141" w:leftChars="67" w:right="176" w:rightChars="84"/>
              <w:rPr>
                <w:rFonts w:ascii="宋体" w:hAnsi="宋体"/>
                <w:color w:val="000000"/>
                <w:szCs w:val="21"/>
              </w:rPr>
            </w:pPr>
            <w:r>
              <w:rPr>
                <w:rFonts w:hint="eastAsia" w:ascii="宋体" w:hAnsi="宋体"/>
                <w:color w:val="000000"/>
                <w:szCs w:val="21"/>
              </w:rPr>
              <w:t>6.2 修订和废除现行有关标准的建议</w:t>
            </w:r>
          </w:p>
        </w:tc>
        <w:tc>
          <w:tcPr>
            <w:tcW w:w="7831" w:type="dxa"/>
            <w:gridSpan w:val="6"/>
            <w:tcBorders>
              <w:top w:val="single" w:color="auto" w:sz="4" w:space="0"/>
              <w:left w:val="single" w:color="auto" w:sz="4" w:space="0"/>
              <w:bottom w:val="single" w:color="auto" w:sz="4" w:space="0"/>
              <w:right w:val="single" w:color="auto" w:sz="4" w:space="0"/>
            </w:tcBorders>
            <w:vAlign w:val="center"/>
          </w:tcPr>
          <w:p>
            <w:pPr>
              <w:rPr>
                <w:rFonts w:ascii="宋体" w:hAnsi="宋体"/>
                <w:color w:val="000000"/>
                <w:szCs w:val="21"/>
              </w:rPr>
            </w:pPr>
            <w:r>
              <w:rPr>
                <w:rFonts w:hint="eastAsia" w:ascii="宋体" w:hAnsi="宋体"/>
                <w:color w:val="000000"/>
                <w:szCs w:val="21"/>
              </w:rPr>
              <w:t>/</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1734" w:hRule="atLeast"/>
        </w:trPr>
        <w:tc>
          <w:tcPr>
            <w:tcW w:w="1794" w:type="dxa"/>
            <w:tcBorders>
              <w:top w:val="single" w:color="auto" w:sz="4" w:space="0"/>
              <w:left w:val="single" w:color="auto" w:sz="4" w:space="0"/>
              <w:bottom w:val="single" w:color="auto" w:sz="4" w:space="0"/>
              <w:right w:val="single" w:color="auto" w:sz="4" w:space="0"/>
            </w:tcBorders>
            <w:vAlign w:val="center"/>
          </w:tcPr>
          <w:p>
            <w:pPr>
              <w:ind w:left="141" w:leftChars="67" w:right="176" w:rightChars="84"/>
              <w:rPr>
                <w:rFonts w:ascii="宋体" w:hAnsi="宋体"/>
                <w:color w:val="000000"/>
                <w:szCs w:val="21"/>
              </w:rPr>
            </w:pPr>
            <w:r>
              <w:rPr>
                <w:rFonts w:ascii="宋体" w:hAnsi="宋体"/>
                <w:color w:val="000000"/>
                <w:szCs w:val="21"/>
              </w:rPr>
              <w:t>6.</w:t>
            </w:r>
            <w:r>
              <w:rPr>
                <w:rFonts w:hint="eastAsia" w:ascii="宋体" w:hAnsi="宋体"/>
                <w:color w:val="000000"/>
                <w:szCs w:val="21"/>
              </w:rPr>
              <w:t>3重大分歧意见的处理经过和依据</w:t>
            </w:r>
          </w:p>
        </w:tc>
        <w:tc>
          <w:tcPr>
            <w:tcW w:w="7831" w:type="dxa"/>
            <w:gridSpan w:val="6"/>
            <w:tcBorders>
              <w:top w:val="single" w:color="auto" w:sz="4" w:space="0"/>
              <w:left w:val="single" w:color="auto" w:sz="4" w:space="0"/>
              <w:bottom w:val="single" w:color="auto" w:sz="4" w:space="0"/>
              <w:right w:val="single" w:color="auto" w:sz="4" w:space="0"/>
            </w:tcBorders>
            <w:vAlign w:val="center"/>
          </w:tcPr>
          <w:p>
            <w:pPr>
              <w:rPr>
                <w:rFonts w:ascii="宋体" w:hAnsi="宋体"/>
                <w:color w:val="000000"/>
                <w:szCs w:val="21"/>
              </w:rPr>
            </w:pPr>
            <w:r>
              <w:rPr>
                <w:rFonts w:hint="eastAsia" w:ascii="宋体" w:hAnsi="宋体"/>
                <w:color w:val="000000"/>
                <w:szCs w:val="21"/>
              </w:rPr>
              <w:t>/</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1670" w:hRule="atLeast"/>
        </w:trPr>
        <w:tc>
          <w:tcPr>
            <w:tcW w:w="1794" w:type="dxa"/>
            <w:tcBorders>
              <w:top w:val="single" w:color="auto" w:sz="4" w:space="0"/>
              <w:left w:val="single" w:color="auto" w:sz="4" w:space="0"/>
              <w:bottom w:val="single" w:color="auto" w:sz="4" w:space="0"/>
              <w:right w:val="single" w:color="auto" w:sz="4" w:space="0"/>
            </w:tcBorders>
            <w:vAlign w:val="center"/>
          </w:tcPr>
          <w:p>
            <w:pPr>
              <w:ind w:left="141" w:leftChars="67" w:right="176" w:rightChars="84"/>
              <w:rPr>
                <w:rFonts w:ascii="宋体" w:hAnsi="宋体"/>
                <w:color w:val="000000"/>
                <w:szCs w:val="21"/>
              </w:rPr>
            </w:pPr>
            <w:r>
              <w:rPr>
                <w:rFonts w:hint="eastAsia" w:ascii="宋体" w:hAnsi="宋体"/>
                <w:color w:val="000000"/>
                <w:szCs w:val="21"/>
              </w:rPr>
              <w:t>6.4 其他需要说明的情况</w:t>
            </w:r>
          </w:p>
        </w:tc>
        <w:tc>
          <w:tcPr>
            <w:tcW w:w="7831" w:type="dxa"/>
            <w:gridSpan w:val="6"/>
            <w:tcBorders>
              <w:top w:val="single" w:color="auto" w:sz="4" w:space="0"/>
              <w:left w:val="single" w:color="auto" w:sz="4" w:space="0"/>
              <w:bottom w:val="single" w:color="auto" w:sz="4" w:space="0"/>
              <w:right w:val="single" w:color="auto" w:sz="4" w:space="0"/>
            </w:tcBorders>
            <w:vAlign w:val="center"/>
          </w:tcPr>
          <w:p>
            <w:pPr>
              <w:rPr>
                <w:rFonts w:ascii="宋体" w:hAnsi="宋体"/>
                <w:color w:val="000000"/>
                <w:szCs w:val="21"/>
              </w:rPr>
            </w:pPr>
            <w:r>
              <w:rPr>
                <w:rFonts w:hint="eastAsia" w:ascii="宋体" w:hAnsi="宋体"/>
                <w:color w:val="000000"/>
                <w:szCs w:val="21"/>
              </w:rPr>
              <w:t>/</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1721" w:hRule="atLeast"/>
        </w:trPr>
        <w:tc>
          <w:tcPr>
            <w:tcW w:w="1794" w:type="dxa"/>
            <w:tcBorders>
              <w:top w:val="single" w:color="auto" w:sz="4" w:space="0"/>
              <w:left w:val="single" w:color="auto" w:sz="4" w:space="0"/>
              <w:bottom w:val="single" w:color="auto" w:sz="4" w:space="0"/>
              <w:right w:val="single" w:color="auto" w:sz="4" w:space="0"/>
            </w:tcBorders>
            <w:vAlign w:val="center"/>
          </w:tcPr>
          <w:p>
            <w:pPr>
              <w:ind w:left="141" w:leftChars="67" w:right="176" w:rightChars="84"/>
              <w:rPr>
                <w:rFonts w:ascii="宋体" w:hAnsi="宋体"/>
                <w:color w:val="000000"/>
                <w:szCs w:val="21"/>
              </w:rPr>
            </w:pPr>
            <w:r>
              <w:rPr>
                <w:rFonts w:hint="eastAsia" w:ascii="宋体" w:hAnsi="宋体"/>
                <w:color w:val="000000"/>
                <w:szCs w:val="21"/>
              </w:rPr>
              <w:t>6.5 参考文献</w:t>
            </w:r>
          </w:p>
        </w:tc>
        <w:tc>
          <w:tcPr>
            <w:tcW w:w="7831" w:type="dxa"/>
            <w:gridSpan w:val="6"/>
            <w:tcBorders>
              <w:top w:val="single" w:color="auto" w:sz="4" w:space="0"/>
              <w:left w:val="single" w:color="auto" w:sz="4" w:space="0"/>
              <w:bottom w:val="single" w:color="auto" w:sz="4" w:space="0"/>
              <w:right w:val="single" w:color="auto" w:sz="4" w:space="0"/>
            </w:tcBorders>
            <w:vAlign w:val="center"/>
          </w:tcPr>
          <w:p>
            <w:pPr>
              <w:rPr>
                <w:rFonts w:ascii="宋体" w:hAnsi="宋体"/>
                <w:color w:val="000000"/>
                <w:szCs w:val="21"/>
              </w:rPr>
            </w:pPr>
            <w:r>
              <w:rPr>
                <w:rFonts w:hint="eastAsia" w:ascii="宋体" w:hAnsi="宋体"/>
                <w:color w:val="000000"/>
                <w:szCs w:val="21"/>
              </w:rPr>
              <w:t>/</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495" w:hRule="atLeast"/>
        </w:trPr>
        <w:tc>
          <w:tcPr>
            <w:tcW w:w="1800"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000000"/>
                <w:szCs w:val="21"/>
              </w:rPr>
            </w:pPr>
            <w:r>
              <w:rPr>
                <w:rFonts w:hint="eastAsia" w:ascii="宋体" w:hAnsi="宋体"/>
                <w:color w:val="000000"/>
                <w:szCs w:val="21"/>
              </w:rPr>
              <w:t>联系人</w:t>
            </w:r>
          </w:p>
        </w:tc>
        <w:tc>
          <w:tcPr>
            <w:tcW w:w="1288"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000000"/>
                <w:szCs w:val="21"/>
              </w:rPr>
            </w:pPr>
            <w:r>
              <w:rPr>
                <w:rFonts w:hint="eastAsia" w:ascii="宋体" w:hAnsi="宋体" w:cs="宋体"/>
                <w:color w:val="000000"/>
              </w:rPr>
              <w:t>贺鹏艳</w:t>
            </w:r>
          </w:p>
        </w:tc>
        <w:tc>
          <w:tcPr>
            <w:tcW w:w="108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000000"/>
                <w:szCs w:val="21"/>
              </w:rPr>
            </w:pPr>
            <w:r>
              <w:rPr>
                <w:rFonts w:hint="eastAsia" w:ascii="宋体" w:hAnsi="宋体"/>
                <w:color w:val="000000"/>
                <w:szCs w:val="21"/>
              </w:rPr>
              <w:t>联系电话</w:t>
            </w:r>
          </w:p>
        </w:tc>
        <w:tc>
          <w:tcPr>
            <w:tcW w:w="162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000000"/>
                <w:szCs w:val="21"/>
              </w:rPr>
            </w:pPr>
            <w:r>
              <w:rPr>
                <w:rFonts w:ascii="宋体" w:hAnsi="宋体" w:cs="宋体"/>
                <w:color w:val="000000"/>
              </w:rPr>
              <w:t>010-82261985</w:t>
            </w:r>
          </w:p>
        </w:tc>
        <w:tc>
          <w:tcPr>
            <w:tcW w:w="144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000000"/>
                <w:szCs w:val="21"/>
              </w:rPr>
            </w:pPr>
            <w:r>
              <w:rPr>
                <w:rFonts w:hint="eastAsia" w:ascii="宋体" w:hAnsi="宋体"/>
                <w:color w:val="000000"/>
                <w:szCs w:val="21"/>
              </w:rPr>
              <w:t>电子邮箱</w:t>
            </w:r>
          </w:p>
        </w:tc>
        <w:tc>
          <w:tcPr>
            <w:tcW w:w="239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000000"/>
                <w:szCs w:val="21"/>
              </w:rPr>
            </w:pPr>
            <w:r>
              <w:rPr>
                <w:rFonts w:ascii="宋体" w:hAnsi="宋体" w:cs="宋体"/>
                <w:color w:val="000000"/>
              </w:rPr>
              <w:t>18701408956@139.com</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495" w:hRule="atLeast"/>
        </w:trPr>
        <w:tc>
          <w:tcPr>
            <w:tcW w:w="9625" w:type="dxa"/>
            <w:gridSpan w:val="7"/>
            <w:tcBorders>
              <w:top w:val="single" w:color="auto" w:sz="4" w:space="0"/>
              <w:left w:val="single" w:color="auto" w:sz="4" w:space="0"/>
              <w:bottom w:val="single" w:color="auto" w:sz="4" w:space="0"/>
              <w:right w:val="single" w:color="auto" w:sz="4" w:space="0"/>
            </w:tcBorders>
            <w:vAlign w:val="center"/>
          </w:tcPr>
          <w:p>
            <w:pPr>
              <w:adjustRightInd w:val="0"/>
              <w:spacing w:before="60" w:line="360" w:lineRule="auto"/>
              <w:ind w:firstLine="440" w:firstLineChars="210"/>
              <w:rPr>
                <w:rFonts w:ascii="宋体" w:hAnsi="宋体"/>
                <w:color w:val="000000"/>
                <w:szCs w:val="21"/>
              </w:rPr>
            </w:pPr>
            <w:r>
              <w:rPr>
                <w:rFonts w:hint="eastAsia" w:ascii="宋体" w:hAnsi="宋体"/>
                <w:color w:val="000000"/>
                <w:szCs w:val="21"/>
              </w:rPr>
              <w:t>注1：本格式的通用部分为第1章、第2章、第4章和第6章。</w:t>
            </w:r>
          </w:p>
          <w:p>
            <w:pPr>
              <w:adjustRightInd w:val="0"/>
              <w:spacing w:before="60" w:line="360" w:lineRule="auto"/>
              <w:ind w:firstLine="440" w:firstLineChars="210"/>
              <w:rPr>
                <w:rFonts w:ascii="宋体" w:hAnsi="宋体"/>
                <w:color w:val="000000"/>
                <w:szCs w:val="21"/>
              </w:rPr>
            </w:pPr>
            <w:r>
              <w:rPr>
                <w:rFonts w:hint="eastAsia" w:ascii="宋体" w:hAnsi="宋体"/>
                <w:color w:val="000000"/>
                <w:szCs w:val="21"/>
              </w:rPr>
              <w:t>注2：3.4适用于标准草案送审稿，3.5适用于标准草案报批稿，3.6中“预期的管理目标”适用于规程类标准，3.6中“技术指标”适用于方法类标准，第5章适用于方法类标准编制说明的编写。</w:t>
            </w:r>
          </w:p>
          <w:p>
            <w:pPr>
              <w:adjustRightInd w:val="0"/>
              <w:spacing w:before="60" w:line="360" w:lineRule="auto"/>
              <w:ind w:firstLine="440" w:firstLineChars="210"/>
              <w:rPr>
                <w:rFonts w:ascii="宋体" w:hAnsi="宋体"/>
                <w:color w:val="000000"/>
                <w:szCs w:val="21"/>
              </w:rPr>
            </w:pPr>
            <w:r>
              <w:rPr>
                <w:rFonts w:hint="eastAsia" w:ascii="宋体" w:hAnsi="宋体"/>
                <w:color w:val="000000"/>
                <w:szCs w:val="21"/>
              </w:rPr>
              <w:t>注3：3.1和第6章为可选项，其余为必填项。</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495" w:hRule="atLeast"/>
        </w:trPr>
        <w:tc>
          <w:tcPr>
            <w:tcW w:w="9625" w:type="dxa"/>
            <w:gridSpan w:val="7"/>
            <w:tcBorders>
              <w:top w:val="single" w:color="auto" w:sz="4" w:space="0"/>
              <w:left w:val="nil"/>
              <w:bottom w:val="nil"/>
              <w:right w:val="nil"/>
            </w:tcBorders>
            <w:vAlign w:val="center"/>
          </w:tcPr>
          <w:p>
            <w:pPr>
              <w:wordWrap w:val="0"/>
              <w:ind w:right="480"/>
              <w:jc w:val="right"/>
              <w:rPr>
                <w:rFonts w:ascii="宋体" w:hAnsi="宋体"/>
                <w:color w:val="000000"/>
                <w:szCs w:val="21"/>
              </w:rPr>
            </w:pPr>
            <w:r>
              <w:rPr>
                <w:rFonts w:hint="eastAsia" w:ascii="宋体" w:hAnsi="宋体" w:cs="宋体"/>
                <w:color w:val="000000"/>
              </w:rPr>
              <w:t>编写日期：2026年 10 月  21  日</w:t>
            </w:r>
          </w:p>
        </w:tc>
      </w:tr>
    </w:tbl>
    <w:p>
      <w:pPr>
        <w:rPr>
          <w:rFonts w:eastAsia="方正仿宋简体"/>
          <w:b/>
          <w:snapToGrid w:val="0"/>
          <w:color w:val="000000"/>
          <w:kern w:val="0"/>
          <w:sz w:val="32"/>
          <w:szCs w:val="32"/>
        </w:rPr>
      </w:pPr>
    </w:p>
    <w:sectPr>
      <w:headerReference r:id="rId3" w:type="default"/>
      <w:footerReference r:id="rId4" w:type="default"/>
      <w:footerReference r:id="rId5" w:type="even"/>
      <w:pgSz w:w="11907" w:h="16840"/>
      <w:pgMar w:top="1758" w:right="1418" w:bottom="1758" w:left="1418" w:header="851" w:footer="1134" w:gutter="0"/>
      <w:pgNumType w:start="1"/>
      <w:cols w:space="720" w:num="1"/>
      <w:titlePg/>
      <w:docGrid w:linePitch="291" w:charSpace="-378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方正书宋_GBK"/>
    <w:panose1 w:val="02010600030101010101"/>
    <w:charset w:val="50"/>
    <w:family w:val="auto"/>
    <w:pitch w:val="default"/>
    <w:sig w:usb0="00000000" w:usb1="0000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DejaVu Sans"/>
    <w:panose1 w:val="020F0502020204030204"/>
    <w:charset w:val="00"/>
    <w:family w:val="swiss"/>
    <w:pitch w:val="default"/>
    <w:sig w:usb0="00000000" w:usb1="00000000" w:usb2="00000001" w:usb3="00000000" w:csb0="0000019F" w:csb1="00000000"/>
  </w:font>
  <w:font w:name="Arial">
    <w:altName w:val="Times New Roman"/>
    <w:panose1 w:val="020B0604020202020204"/>
    <w:charset w:val="00"/>
    <w:family w:val="swiss"/>
    <w:pitch w:val="default"/>
    <w:sig w:usb0="00000000" w:usb1="00000000" w:usb2="00000009" w:usb3="00000000" w:csb0="000001FF" w:csb1="00000000"/>
  </w:font>
  <w:font w:name="Courier New">
    <w:altName w:val="DejaVu Sans"/>
    <w:panose1 w:val="02070309020205020404"/>
    <w:charset w:val="00"/>
    <w:family w:val="modern"/>
    <w:pitch w:val="default"/>
    <w:sig w:usb0="00000000" w:usb1="00000000" w:usb2="00000009" w:usb3="00000000" w:csb0="000001FF" w:csb1="00000000"/>
  </w:font>
  <w:font w:name="Verdana">
    <w:altName w:val="Ubuntu"/>
    <w:panose1 w:val="020B0604030504040204"/>
    <w:charset w:val="00"/>
    <w:family w:val="swiss"/>
    <w:pitch w:val="default"/>
    <w:sig w:usb0="00000000" w:usb1="00000000" w:usb2="00000010" w:usb3="00000000" w:csb0="0000019F" w:csb1="00000000"/>
  </w:font>
  <w:font w:name="仿宋_GB2312">
    <w:panose1 w:val="02010609030101010101"/>
    <w:charset w:val="86"/>
    <w:family w:val="modern"/>
    <w:pitch w:val="default"/>
    <w:sig w:usb0="00000001" w:usb1="080E0000" w:usb2="00000000" w:usb3="00000000" w:csb0="00040000" w:csb1="00000000"/>
  </w:font>
  <w:font w:name="ˎ̥">
    <w:altName w:val="Times New Roman"/>
    <w:panose1 w:val="00000000000000000000"/>
    <w:charset w:val="00"/>
    <w:family w:val="auto"/>
    <w:pitch w:val="default"/>
    <w:sig w:usb0="00000000" w:usb1="00000000" w:usb2="00000000" w:usb3="00000000" w:csb0="00040001" w:csb1="00000000"/>
  </w:font>
  <w:font w:name="方正小标宋简体">
    <w:panose1 w:val="02000000000000000000"/>
    <w:charset w:val="86"/>
    <w:family w:val="auto"/>
    <w:pitch w:val="default"/>
    <w:sig w:usb0="A00002BF" w:usb1="184F6CFA" w:usb2="00000012" w:usb3="00000000" w:csb0="00040001" w:csb1="00000000"/>
  </w:font>
  <w:font w:name="方正仿宋简体">
    <w:altName w:val="方正仿宋_GBK"/>
    <w:panose1 w:val="00000000000000000000"/>
    <w:charset w:val="86"/>
    <w:family w:val="auto"/>
    <w:pitch w:val="default"/>
    <w:sig w:usb0="00000000" w:usb1="00000000" w:usb2="00000012" w:usb3="00000000" w:csb0="00040001" w:csb1="00000000"/>
  </w:font>
  <w:font w:name="方正书宋_GBK">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 w:name="Microsoft YaHei">
    <w:altName w:val="黑体"/>
    <w:panose1 w:val="00000000000000000000"/>
    <w:charset w:val="00"/>
    <w:family w:val="auto"/>
    <w:pitch w:val="default"/>
    <w:sig w:usb0="00000000" w:usb1="00000000" w:usb2="00000000" w:usb3="00000000" w:csb0="00000000" w:csb1="00000000"/>
  </w:font>
  <w:font w:name="Tahoma">
    <w:altName w:val="Droid Sans"/>
    <w:panose1 w:val="00000000000000000000"/>
    <w:charset w:val="00"/>
    <w:family w:val="auto"/>
    <w:pitch w:val="default"/>
    <w:sig w:usb0="00000000" w:usb1="00000000" w:usb2="00000000" w:usb3="00000000" w:csb0="00000000" w:csb1="00000000"/>
  </w:font>
  <w:font w:name="Ubuntu">
    <w:panose1 w:val="020B0604030602030204"/>
    <w:charset w:val="00"/>
    <w:family w:val="auto"/>
    <w:pitch w:val="default"/>
    <w:sig w:usb0="E00002FF" w:usb1="5000205B" w:usb2="00000000" w:usb3="00000000" w:csb0="2000009F" w:csb1="56010000"/>
  </w:font>
  <w:font w:name="方正仿宋_GBK">
    <w:panose1 w:val="02000000000000000000"/>
    <w:charset w:val="86"/>
    <w:family w:val="auto"/>
    <w:pitch w:val="default"/>
    <w:sig w:usb0="00000001" w:usb1="08000000" w:usb2="00000000" w:usb3="00000000" w:csb0="00040000" w:csb1="00000000"/>
  </w:font>
  <w:font w:name="Droid Sans">
    <w:panose1 w:val="020B0606030804020204"/>
    <w:charset w:val="00"/>
    <w:family w:val="auto"/>
    <w:pitch w:val="default"/>
    <w:sig w:usb0="E00002EF" w:usb1="4000205B" w:usb2="00000028" w:usb3="00000000" w:csb0="2000019F" w:csb1="00000000"/>
  </w:font>
  <w:font w:name="Noto Sans CJK JP Regular">
    <w:panose1 w:val="020B0500000000000000"/>
    <w:charset w:val="86"/>
    <w:family w:val="auto"/>
    <w:pitch w:val="default"/>
    <w:sig w:usb0="30000003" w:usb1="2BDF3C10" w:usb2="00000016" w:usb3="00000000" w:csb0="602E0107"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jc w:val="center"/>
      <w:rPr>
        <w:sz w:val="24"/>
        <w:szCs w:val="24"/>
      </w:rPr>
    </w:pPr>
    <w:r>
      <w:rPr>
        <w:rFonts w:hint="eastAsia"/>
        <w:sz w:val="24"/>
        <w:szCs w:val="24"/>
      </w:rPr>
      <w:t>-</w:t>
    </w:r>
    <w:r>
      <w:rPr>
        <w:sz w:val="24"/>
        <w:szCs w:val="24"/>
      </w:rPr>
      <w:fldChar w:fldCharType="begin"/>
    </w:r>
    <w:r>
      <w:rPr>
        <w:sz w:val="24"/>
        <w:szCs w:val="24"/>
      </w:rPr>
      <w:instrText xml:space="preserve"> PAGE   \* MERGEFORMAT </w:instrText>
    </w:r>
    <w:r>
      <w:rPr>
        <w:sz w:val="24"/>
        <w:szCs w:val="24"/>
      </w:rPr>
      <w:fldChar w:fldCharType="separate"/>
    </w:r>
    <w:r>
      <w:rPr>
        <w:sz w:val="24"/>
        <w:szCs w:val="24"/>
        <w:lang w:val="zh-CN"/>
      </w:rPr>
      <w:t>6</w:t>
    </w:r>
    <w:r>
      <w:rPr>
        <w:sz w:val="24"/>
        <w:szCs w:val="24"/>
      </w:rPr>
      <w:fldChar w:fldCharType="end"/>
    </w:r>
    <w:r>
      <w:rPr>
        <w:rFonts w:hint="eastAsia"/>
        <w:sz w:val="24"/>
        <w:szCs w:val="24"/>
      </w:rPr>
      <w:t>-</w:t>
    </w:r>
  </w:p>
  <w:p>
    <w:pPr>
      <w:pStyle w:val="2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framePr w:wrap="around" w:vAnchor="text" w:hAnchor="margin" w:xAlign="center" w:y="1"/>
    </w:pPr>
    <w:r>
      <w:fldChar w:fldCharType="begin"/>
    </w:r>
    <w:r>
      <w:rPr>
        <w:rStyle w:val="41"/>
      </w:rPr>
      <w:instrText xml:space="preserve">PAGE  </w:instrText>
    </w:r>
    <w:r>
      <w:fldChar w:fldCharType="end"/>
    </w:r>
  </w:p>
  <w:p>
    <w:pPr>
      <w:pStyle w:val="55"/>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40A15CD"/>
    <w:multiLevelType w:val="multilevel"/>
    <w:tmpl w:val="040A15CD"/>
    <w:lvl w:ilvl="0" w:tentative="0">
      <w:start w:val="1"/>
      <w:numFmt w:val="none"/>
      <w:suff w:val="nothing"/>
      <w:lvlText w:val="　"/>
      <w:lvlJc w:val="left"/>
      <w:pPr>
        <w:ind w:left="0" w:firstLine="0"/>
      </w:pPr>
      <w:rPr>
        <w:rFonts w:hint="eastAsia" w:ascii="黑体" w:hAnsi="Times New Roman" w:eastAsia="黑体"/>
        <w:b w:val="0"/>
        <w:i w:val="0"/>
        <w:sz w:val="21"/>
      </w:rPr>
    </w:lvl>
    <w:lvl w:ilvl="1" w:tentative="0">
      <w:start w:val="1"/>
      <w:numFmt w:val="decimal"/>
      <w:isLgl/>
      <w:suff w:val="nothing"/>
      <w:lvlText w:val="%2　"/>
      <w:lvlJc w:val="left"/>
      <w:pPr>
        <w:ind w:left="0" w:firstLine="0"/>
      </w:pPr>
      <w:rPr>
        <w:rFonts w:hint="eastAsia" w:ascii="黑体" w:hAnsi="Times New Roman" w:eastAsia="黑体"/>
        <w:b w:val="0"/>
        <w:i w:val="0"/>
        <w:snapToGrid/>
        <w:spacing w:val="0"/>
        <w:w w:val="100"/>
        <w:kern w:val="21"/>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pStyle w:val="82"/>
      <w:suff w:val="nothing"/>
      <w:lvlText w:val="%1%2.%3.%4　"/>
      <w:lvlJc w:val="left"/>
      <w:pPr>
        <w:ind w:left="0" w:firstLine="0"/>
      </w:pPr>
      <w:rPr>
        <w:rFonts w:hint="eastAsia" w:ascii="黑体" w:hAnsi="Times New Roman" w:eastAsia="黑体"/>
        <w:b w:val="0"/>
        <w:i w:val="0"/>
        <w:sz w:val="21"/>
      </w:rPr>
    </w:lvl>
    <w:lvl w:ilvl="4" w:tentative="0">
      <w:start w:val="1"/>
      <w:numFmt w:val="decimal"/>
      <w:pStyle w:val="84"/>
      <w:suff w:val="nothing"/>
      <w:lvlText w:val="%1%2.%3.%4.%5　"/>
      <w:lvlJc w:val="left"/>
      <w:pPr>
        <w:ind w:left="0" w:firstLine="0"/>
      </w:pPr>
      <w:rPr>
        <w:rFonts w:hint="eastAsia" w:ascii="黑体" w:hAnsi="Times New Roman" w:eastAsia="黑体"/>
        <w:b w:val="0"/>
        <w:i w:val="0"/>
        <w:sz w:val="21"/>
      </w:rPr>
    </w:lvl>
    <w:lvl w:ilvl="5" w:tentative="0">
      <w:start w:val="1"/>
      <w:numFmt w:val="decimal"/>
      <w:pStyle w:val="65"/>
      <w:suff w:val="nothing"/>
      <w:lvlText w:val="%1%2.%3.%4.%5.%6　"/>
      <w:lvlJc w:val="left"/>
      <w:pPr>
        <w:ind w:left="0" w:firstLine="0"/>
      </w:pPr>
      <w:rPr>
        <w:rFonts w:hint="eastAsia" w:ascii="黑体" w:hAnsi="Times New Roman" w:eastAsia="黑体"/>
        <w:b w:val="0"/>
        <w:i w:val="0"/>
        <w:sz w:val="21"/>
      </w:rPr>
    </w:lvl>
    <w:lvl w:ilvl="6" w:tentative="0">
      <w:start w:val="1"/>
      <w:numFmt w:val="decimal"/>
      <w:pStyle w:val="111"/>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
    <w:nsid w:val="0AE367E9"/>
    <w:multiLevelType w:val="multilevel"/>
    <w:tmpl w:val="0AE367E9"/>
    <w:lvl w:ilvl="0" w:tentative="0">
      <w:start w:val="1"/>
      <w:numFmt w:val="none"/>
      <w:pStyle w:val="113"/>
      <w:lvlText w:val="%1示例"/>
      <w:lvlJc w:val="left"/>
      <w:pPr>
        <w:tabs>
          <w:tab w:val="left" w:pos="1120"/>
        </w:tabs>
        <w:ind w:left="0" w:firstLine="400"/>
      </w:pPr>
      <w:rPr>
        <w:rFonts w:hint="eastAsia" w:ascii="宋体" w:eastAsia="宋体"/>
        <w:b w:val="0"/>
        <w:i w:val="0"/>
        <w:sz w:val="18"/>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407E65F9"/>
    <w:multiLevelType w:val="multilevel"/>
    <w:tmpl w:val="407E65F9"/>
    <w:lvl w:ilvl="0" w:tentative="0">
      <w:start w:val="1"/>
      <w:numFmt w:val="none"/>
      <w:pStyle w:val="110"/>
      <w:lvlText w:val="%1·　"/>
      <w:lvlJc w:val="left"/>
      <w:pPr>
        <w:tabs>
          <w:tab w:val="left" w:pos="1140"/>
        </w:tabs>
        <w:ind w:left="737" w:hanging="317"/>
      </w:pPr>
      <w:rPr>
        <w:rFonts w:hint="eastAsia" w:ascii="宋体" w:hAnsi="Times New Roman" w:eastAsia="宋体"/>
        <w:b w:val="0"/>
        <w:i w:val="0"/>
        <w:sz w:val="21"/>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3">
    <w:nsid w:val="496E4D7B"/>
    <w:multiLevelType w:val="multilevel"/>
    <w:tmpl w:val="496E4D7B"/>
    <w:lvl w:ilvl="0" w:tentative="0">
      <w:start w:val="1"/>
      <w:numFmt w:val="none"/>
      <w:pStyle w:val="102"/>
      <w:lvlText w:val="%1注"/>
      <w:lvlJc w:val="left"/>
      <w:pPr>
        <w:tabs>
          <w:tab w:val="left" w:pos="900"/>
        </w:tabs>
        <w:ind w:left="900" w:hanging="500"/>
      </w:pPr>
      <w:rPr>
        <w:rFonts w:hint="eastAsia" w:ascii="宋体" w:hAnsi="Times New Roman" w:eastAsia="宋体"/>
        <w:b w:val="0"/>
        <w:i w:val="0"/>
        <w:sz w:val="18"/>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4">
    <w:nsid w:val="557C2AF5"/>
    <w:multiLevelType w:val="multilevel"/>
    <w:tmpl w:val="557C2AF5"/>
    <w:lvl w:ilvl="0" w:tentative="0">
      <w:start w:val="1"/>
      <w:numFmt w:val="decimal"/>
      <w:pStyle w:val="114"/>
      <w:suff w:val="nothing"/>
      <w:lvlText w:val="图%1　"/>
      <w:lvlJc w:val="left"/>
      <w:pPr>
        <w:ind w:left="0" w:firstLine="0"/>
      </w:pPr>
      <w:rPr>
        <w:rFonts w:hint="eastAsia" w:ascii="黑体" w:hAnsi="Times New Roman" w:eastAsia="黑体"/>
        <w:b w:val="0"/>
        <w:i w:val="0"/>
        <w:sz w:val="21"/>
      </w:rPr>
    </w:lvl>
    <w:lvl w:ilvl="1" w:tentative="0">
      <w:start w:val="1"/>
      <w:numFmt w:val="decimal"/>
      <w:suff w:val="nothing"/>
      <w:lvlText w:val="%1%2　"/>
      <w:lvlJc w:val="left"/>
      <w:pPr>
        <w:ind w:left="0" w:firstLine="0"/>
      </w:pPr>
      <w:rPr>
        <w:rFonts w:hint="default" w:ascii="Times New Roman" w:hAnsi="Times New Roman" w:eastAsia="黑体"/>
        <w:b w:val="0"/>
        <w:i w:val="0"/>
        <w:sz w:val="21"/>
      </w:rPr>
    </w:lvl>
    <w:lvl w:ilvl="2" w:tentative="0">
      <w:start w:val="1"/>
      <w:numFmt w:val="decimal"/>
      <w:suff w:val="nothing"/>
      <w:lvlText w:val="%1%2.%3　"/>
      <w:lvlJc w:val="left"/>
      <w:pPr>
        <w:ind w:left="0" w:firstLine="0"/>
      </w:pPr>
      <w:rPr>
        <w:rFonts w:hint="default" w:ascii="Times New Roman" w:hAnsi="Times New Roman" w:eastAsia="黑体"/>
        <w:b w:val="0"/>
        <w:i w:val="0"/>
        <w:sz w:val="21"/>
      </w:rPr>
    </w:lvl>
    <w:lvl w:ilvl="3" w:tentative="0">
      <w:start w:val="1"/>
      <w:numFmt w:val="decimal"/>
      <w:suff w:val="nothing"/>
      <w:lvlText w:val="%1%2.%3.%4　"/>
      <w:lvlJc w:val="left"/>
      <w:pPr>
        <w:ind w:left="0" w:firstLine="0"/>
      </w:pPr>
      <w:rPr>
        <w:rFonts w:hint="default" w:ascii="Times New Roman" w:hAnsi="Times New Roman" w:eastAsia="黑体"/>
        <w:b w:val="0"/>
        <w:i w:val="0"/>
        <w:sz w:val="21"/>
      </w:rPr>
    </w:lvl>
    <w:lvl w:ilvl="4" w:tentative="0">
      <w:start w:val="1"/>
      <w:numFmt w:val="decimal"/>
      <w:suff w:val="nothing"/>
      <w:lvlText w:val="%1%2.%3.%4.%5　"/>
      <w:lvlJc w:val="left"/>
      <w:pPr>
        <w:ind w:left="0" w:firstLine="0"/>
      </w:pPr>
      <w:rPr>
        <w:rFonts w:hint="default" w:ascii="Times New Roman" w:hAnsi="Times New Roman" w:eastAsia="黑体"/>
        <w:b w:val="0"/>
        <w:i w:val="0"/>
        <w:sz w:val="21"/>
      </w:rPr>
    </w:lvl>
    <w:lvl w:ilvl="5" w:tentative="0">
      <w:start w:val="1"/>
      <w:numFmt w:val="decimal"/>
      <w:suff w:val="nothing"/>
      <w:lvlText w:val="%1%2.%3.%4.%5.%6　"/>
      <w:lvlJc w:val="left"/>
      <w:pPr>
        <w:ind w:left="0" w:firstLine="0"/>
      </w:pPr>
      <w:rPr>
        <w:rFonts w:hint="default" w:ascii="Times New Roman" w:hAnsi="Times New Roman" w:eastAsia="黑体"/>
        <w:b w:val="0"/>
        <w:i w:val="0"/>
        <w:sz w:val="21"/>
      </w:rPr>
    </w:lvl>
    <w:lvl w:ilvl="6" w:tentative="0">
      <w:start w:val="1"/>
      <w:numFmt w:val="decimal"/>
      <w:suff w:val="nothing"/>
      <w:lvlText w:val="%1%2.%3.%4.%5.%6.%7　"/>
      <w:lvlJc w:val="left"/>
      <w:pPr>
        <w:ind w:left="0" w:firstLine="0"/>
      </w:pPr>
      <w:rPr>
        <w:rFonts w:hint="default" w:ascii="Times New Roman"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5">
    <w:nsid w:val="646260FA"/>
    <w:multiLevelType w:val="multilevel"/>
    <w:tmpl w:val="646260FA"/>
    <w:lvl w:ilvl="0" w:tentative="0">
      <w:start w:val="1"/>
      <w:numFmt w:val="decimal"/>
      <w:pStyle w:val="95"/>
      <w:suff w:val="nothing"/>
      <w:lvlText w:val="表%1　"/>
      <w:lvlJc w:val="left"/>
      <w:pPr>
        <w:ind w:left="0" w:firstLine="0"/>
      </w:pPr>
      <w:rPr>
        <w:rFonts w:hint="eastAsia" w:ascii="黑体" w:hAnsi="Times New Roman" w:eastAsia="黑体"/>
        <w:b w:val="0"/>
        <w:i w:val="0"/>
        <w:sz w:val="21"/>
      </w:rPr>
    </w:lvl>
    <w:lvl w:ilvl="1" w:tentative="0">
      <w:start w:val="1"/>
      <w:numFmt w:val="decimal"/>
      <w:lvlText w:val="%1.%2"/>
      <w:lvlJc w:val="left"/>
      <w:pPr>
        <w:tabs>
          <w:tab w:val="left" w:pos="992"/>
        </w:tabs>
        <w:ind w:left="992" w:hanging="567"/>
      </w:pPr>
      <w:rPr>
        <w:rFonts w:hint="eastAsia"/>
      </w:rPr>
    </w:lvl>
    <w:lvl w:ilvl="2" w:tentative="0">
      <w:start w:val="1"/>
      <w:numFmt w:val="decimal"/>
      <w:lvlText w:val="%1.%2.%3"/>
      <w:lvlJc w:val="left"/>
      <w:pPr>
        <w:tabs>
          <w:tab w:val="left" w:pos="1418"/>
        </w:tabs>
        <w:ind w:left="1418" w:hanging="567"/>
      </w:pPr>
      <w:rPr>
        <w:rFonts w:hint="eastAsia"/>
      </w:rPr>
    </w:lvl>
    <w:lvl w:ilvl="3" w:tentative="0">
      <w:start w:val="1"/>
      <w:numFmt w:val="decimal"/>
      <w:lvlText w:val="%1.%2.%3.%4"/>
      <w:lvlJc w:val="left"/>
      <w:pPr>
        <w:tabs>
          <w:tab w:val="left" w:pos="1984"/>
        </w:tabs>
        <w:ind w:left="1984" w:hanging="708"/>
      </w:pPr>
      <w:rPr>
        <w:rFonts w:hint="eastAsia"/>
      </w:rPr>
    </w:lvl>
    <w:lvl w:ilvl="4" w:tentative="0">
      <w:start w:val="1"/>
      <w:numFmt w:val="decimal"/>
      <w:lvlText w:val="%1.%2.%3.%4.%5"/>
      <w:lvlJc w:val="left"/>
      <w:pPr>
        <w:tabs>
          <w:tab w:val="left" w:pos="2551"/>
        </w:tabs>
        <w:ind w:left="2551" w:hanging="850"/>
      </w:pPr>
      <w:rPr>
        <w:rFonts w:hint="eastAsia"/>
      </w:rPr>
    </w:lvl>
    <w:lvl w:ilvl="5" w:tentative="0">
      <w:start w:val="1"/>
      <w:numFmt w:val="decimal"/>
      <w:lvlText w:val="%1.%2.%3.%4.%5.%6"/>
      <w:lvlJc w:val="left"/>
      <w:pPr>
        <w:tabs>
          <w:tab w:val="left" w:pos="3260"/>
        </w:tabs>
        <w:ind w:left="3260" w:hanging="1134"/>
      </w:pPr>
      <w:rPr>
        <w:rFonts w:hint="eastAsia"/>
      </w:rPr>
    </w:lvl>
    <w:lvl w:ilvl="6" w:tentative="0">
      <w:start w:val="1"/>
      <w:numFmt w:val="decimal"/>
      <w:lvlText w:val="%1.%2.%3.%4.%5.%6.%7"/>
      <w:lvlJc w:val="left"/>
      <w:pPr>
        <w:tabs>
          <w:tab w:val="left" w:pos="3827"/>
        </w:tabs>
        <w:ind w:left="3827" w:hanging="1276"/>
      </w:pPr>
      <w:rPr>
        <w:rFonts w:hint="eastAsia"/>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6">
    <w:nsid w:val="657D3FBC"/>
    <w:multiLevelType w:val="multilevel"/>
    <w:tmpl w:val="657D3FBC"/>
    <w:lvl w:ilvl="0" w:tentative="0">
      <w:start w:val="1"/>
      <w:numFmt w:val="upperLetter"/>
      <w:pStyle w:val="80"/>
      <w:suff w:val="nothing"/>
      <w:lvlText w:val="附　录　%1"/>
      <w:lvlJc w:val="left"/>
      <w:pPr>
        <w:ind w:left="0" w:firstLine="0"/>
      </w:pPr>
      <w:rPr>
        <w:rFonts w:hint="eastAsia" w:ascii="黑体" w:hAnsi="Times New Roman" w:eastAsia="黑体"/>
        <w:b w:val="0"/>
        <w:i w:val="0"/>
        <w:sz w:val="21"/>
      </w:rPr>
    </w:lvl>
    <w:lvl w:ilvl="1" w:tentative="0">
      <w:start w:val="1"/>
      <w:numFmt w:val="decimal"/>
      <w:pStyle w:val="63"/>
      <w:suff w:val="nothing"/>
      <w:lvlText w:val="%1.%2　"/>
      <w:lvlJc w:val="left"/>
      <w:pPr>
        <w:ind w:left="0" w:firstLine="0"/>
      </w:pPr>
      <w:rPr>
        <w:rFonts w:hint="eastAsia" w:ascii="黑体" w:hAnsi="Times New Roman" w:eastAsia="黑体"/>
        <w:b w:val="0"/>
        <w:i w:val="0"/>
        <w:snapToGrid/>
        <w:spacing w:val="0"/>
        <w:w w:val="100"/>
        <w:kern w:val="21"/>
        <w:sz w:val="21"/>
      </w:rPr>
    </w:lvl>
    <w:lvl w:ilvl="2" w:tentative="0">
      <w:start w:val="1"/>
      <w:numFmt w:val="decimal"/>
      <w:pStyle w:val="62"/>
      <w:suff w:val="nothing"/>
      <w:lvlText w:val="%1.%2.%3　"/>
      <w:lvlJc w:val="left"/>
      <w:pPr>
        <w:ind w:left="0" w:firstLine="0"/>
      </w:pPr>
      <w:rPr>
        <w:rFonts w:hint="eastAsia" w:ascii="黑体" w:hAnsi="Times New Roman" w:eastAsia="黑体"/>
        <w:b w:val="0"/>
        <w:i w:val="0"/>
        <w:sz w:val="21"/>
      </w:rPr>
    </w:lvl>
    <w:lvl w:ilvl="3" w:tentative="0">
      <w:start w:val="1"/>
      <w:numFmt w:val="decimal"/>
      <w:pStyle w:val="67"/>
      <w:suff w:val="nothing"/>
      <w:lvlText w:val="%1.%2.%3.%4　"/>
      <w:lvlJc w:val="left"/>
      <w:pPr>
        <w:ind w:left="0" w:firstLine="0"/>
      </w:pPr>
      <w:rPr>
        <w:rFonts w:hint="eastAsia" w:ascii="黑体" w:hAnsi="Times New Roman" w:eastAsia="黑体"/>
        <w:b w:val="0"/>
        <w:i w:val="0"/>
        <w:sz w:val="21"/>
      </w:rPr>
    </w:lvl>
    <w:lvl w:ilvl="4" w:tentative="0">
      <w:start w:val="1"/>
      <w:numFmt w:val="decimal"/>
      <w:pStyle w:val="66"/>
      <w:suff w:val="nothing"/>
      <w:lvlText w:val="%1.%2.%3.%4.%5　"/>
      <w:lvlJc w:val="left"/>
      <w:pPr>
        <w:ind w:left="0" w:firstLine="0"/>
      </w:pPr>
      <w:rPr>
        <w:rFonts w:hint="eastAsia" w:ascii="黑体" w:hAnsi="Times New Roman" w:eastAsia="黑体"/>
        <w:b w:val="0"/>
        <w:i w:val="0"/>
        <w:sz w:val="21"/>
      </w:rPr>
    </w:lvl>
    <w:lvl w:ilvl="5" w:tentative="0">
      <w:start w:val="1"/>
      <w:numFmt w:val="decimal"/>
      <w:pStyle w:val="77"/>
      <w:suff w:val="nothing"/>
      <w:lvlText w:val="%1.%2.%3.%4.%5.%6　"/>
      <w:lvlJc w:val="left"/>
      <w:pPr>
        <w:ind w:left="0" w:firstLine="0"/>
      </w:pPr>
      <w:rPr>
        <w:rFonts w:hint="eastAsia" w:ascii="黑体" w:hAnsi="Times New Roman" w:eastAsia="黑体"/>
        <w:b w:val="0"/>
        <w:i w:val="0"/>
        <w:sz w:val="21"/>
      </w:rPr>
    </w:lvl>
    <w:lvl w:ilvl="6" w:tentative="0">
      <w:start w:val="1"/>
      <w:numFmt w:val="decimal"/>
      <w:pStyle w:val="89"/>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7">
    <w:nsid w:val="6CEA2025"/>
    <w:multiLevelType w:val="multilevel"/>
    <w:tmpl w:val="6CEA2025"/>
    <w:lvl w:ilvl="0" w:tentative="0">
      <w:start w:val="1"/>
      <w:numFmt w:val="none"/>
      <w:pStyle w:val="57"/>
      <w:suff w:val="nothing"/>
      <w:lvlText w:val="%1"/>
      <w:lvlJc w:val="left"/>
      <w:pPr>
        <w:ind w:left="0" w:firstLine="0"/>
      </w:pPr>
      <w:rPr>
        <w:rFonts w:hint="default" w:ascii="Times New Roman" w:hAnsi="Times New Roman"/>
        <w:b/>
        <w:i w:val="0"/>
        <w:sz w:val="21"/>
      </w:rPr>
    </w:lvl>
    <w:lvl w:ilvl="1" w:tentative="0">
      <w:start w:val="1"/>
      <w:numFmt w:val="decimal"/>
      <w:suff w:val="nothing"/>
      <w:lvlText w:val="%1%2　"/>
      <w:lvlJc w:val="left"/>
      <w:pPr>
        <w:ind w:left="0" w:firstLine="0"/>
      </w:pPr>
      <w:rPr>
        <w:rFonts w:hint="eastAsia" w:ascii="黑体" w:hAnsi="Times New Roman" w:eastAsia="黑体"/>
        <w:b w:val="0"/>
        <w:i w:val="0"/>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pStyle w:val="74"/>
      <w:suff w:val="nothing"/>
      <w:lvlText w:val="%1%2.%3.%4.%5　"/>
      <w:lvlJc w:val="left"/>
      <w:pPr>
        <w:ind w:left="0" w:firstLine="0"/>
      </w:pPr>
      <w:rPr>
        <w:rFonts w:hint="eastAsia" w:ascii="黑体" w:hAnsi="Times New Roman" w:eastAsia="黑体"/>
        <w:b w:val="0"/>
        <w:i w:val="0"/>
        <w:sz w:val="21"/>
      </w:rPr>
    </w:lvl>
    <w:lvl w:ilvl="5" w:tentative="0">
      <w:start w:val="1"/>
      <w:numFmt w:val="decimal"/>
      <w:pStyle w:val="108"/>
      <w:suff w:val="nothing"/>
      <w:lvlText w:val="%1%2.%3.%4.%5.%6　"/>
      <w:lvlJc w:val="left"/>
      <w:pPr>
        <w:ind w:left="0" w:firstLine="0"/>
      </w:pPr>
      <w:rPr>
        <w:rFonts w:hint="eastAsia" w:ascii="黑体" w:hAnsi="Times New Roman" w:eastAsia="黑体"/>
        <w:b w:val="0"/>
        <w:i w:val="0"/>
        <w:sz w:val="21"/>
      </w:rPr>
    </w:lvl>
    <w:lvl w:ilvl="6" w:tentative="0">
      <w:start w:val="1"/>
      <w:numFmt w:val="decimal"/>
      <w:pStyle w:val="115"/>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8">
    <w:nsid w:val="6DBF04F4"/>
    <w:multiLevelType w:val="multilevel"/>
    <w:tmpl w:val="6DBF04F4"/>
    <w:lvl w:ilvl="0" w:tentative="0">
      <w:start w:val="1"/>
      <w:numFmt w:val="none"/>
      <w:pStyle w:val="99"/>
      <w:lvlText w:val="%1注："/>
      <w:lvlJc w:val="left"/>
      <w:pPr>
        <w:tabs>
          <w:tab w:val="left" w:pos="1140"/>
        </w:tabs>
        <w:ind w:left="840" w:hanging="420"/>
      </w:pPr>
      <w:rPr>
        <w:rFonts w:hint="eastAsia" w:ascii="宋体" w:hAnsi="Times New Roman" w:eastAsia="宋体"/>
        <w:b w:val="0"/>
        <w:i w:val="0"/>
        <w:sz w:val="18"/>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9">
    <w:nsid w:val="76933334"/>
    <w:multiLevelType w:val="multilevel"/>
    <w:tmpl w:val="76933334"/>
    <w:lvl w:ilvl="0" w:tentative="0">
      <w:start w:val="1"/>
      <w:numFmt w:val="none"/>
      <w:pStyle w:val="54"/>
      <w:lvlText w:val="%1——"/>
      <w:lvlJc w:val="left"/>
      <w:pPr>
        <w:tabs>
          <w:tab w:val="left" w:pos="1140"/>
        </w:tabs>
        <w:ind w:left="84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9"/>
  </w:num>
  <w:num w:numId="2">
    <w:abstractNumId w:val="7"/>
  </w:num>
  <w:num w:numId="3">
    <w:abstractNumId w:val="6"/>
  </w:num>
  <w:num w:numId="4">
    <w:abstractNumId w:val="0"/>
  </w:num>
  <w:num w:numId="5">
    <w:abstractNumId w:val="5"/>
  </w:num>
  <w:num w:numId="6">
    <w:abstractNumId w:val="8"/>
  </w:num>
  <w:num w:numId="7">
    <w:abstractNumId w:val="3"/>
  </w:num>
  <w:num w:numId="8">
    <w:abstractNumId w:val="2"/>
  </w:num>
  <w:num w:numId="9">
    <w:abstractNumId w:val="1"/>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true"/>
  <w:bordersDoNotSurroundFooter w:val="true"/>
  <w:documentProtection w:enforcement="0"/>
  <w:defaultTabStop w:val="420"/>
  <w:drawingGridHorizontalSpacing w:val="96"/>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2"/>
  </w:compat>
  <w:rsids>
    <w:rsidRoot w:val="00172A27"/>
    <w:rsid w:val="00000600"/>
    <w:rsid w:val="00001AD5"/>
    <w:rsid w:val="00003491"/>
    <w:rsid w:val="000037D2"/>
    <w:rsid w:val="000065A1"/>
    <w:rsid w:val="00012C67"/>
    <w:rsid w:val="00014276"/>
    <w:rsid w:val="00015100"/>
    <w:rsid w:val="00020D33"/>
    <w:rsid w:val="00021C6E"/>
    <w:rsid w:val="00022D05"/>
    <w:rsid w:val="00023A0F"/>
    <w:rsid w:val="0002669E"/>
    <w:rsid w:val="00027415"/>
    <w:rsid w:val="000449B0"/>
    <w:rsid w:val="00047546"/>
    <w:rsid w:val="000501FC"/>
    <w:rsid w:val="000555F5"/>
    <w:rsid w:val="00056034"/>
    <w:rsid w:val="00060C30"/>
    <w:rsid w:val="0006511B"/>
    <w:rsid w:val="00066DF5"/>
    <w:rsid w:val="00067912"/>
    <w:rsid w:val="00072C62"/>
    <w:rsid w:val="00076838"/>
    <w:rsid w:val="00076FE5"/>
    <w:rsid w:val="000913AA"/>
    <w:rsid w:val="00091710"/>
    <w:rsid w:val="00091BBF"/>
    <w:rsid w:val="00095480"/>
    <w:rsid w:val="000A0E57"/>
    <w:rsid w:val="000A1245"/>
    <w:rsid w:val="000A1780"/>
    <w:rsid w:val="000A408A"/>
    <w:rsid w:val="000A5135"/>
    <w:rsid w:val="000A6CE1"/>
    <w:rsid w:val="000A702B"/>
    <w:rsid w:val="000B15F1"/>
    <w:rsid w:val="000B3B53"/>
    <w:rsid w:val="000C606E"/>
    <w:rsid w:val="000C795D"/>
    <w:rsid w:val="000C7D1E"/>
    <w:rsid w:val="000D0D61"/>
    <w:rsid w:val="000D11AC"/>
    <w:rsid w:val="000D14F2"/>
    <w:rsid w:val="000D5EB5"/>
    <w:rsid w:val="000D6845"/>
    <w:rsid w:val="000E0F71"/>
    <w:rsid w:val="000E1472"/>
    <w:rsid w:val="000E5568"/>
    <w:rsid w:val="000F0490"/>
    <w:rsid w:val="000F1C53"/>
    <w:rsid w:val="000F234E"/>
    <w:rsid w:val="000F3D81"/>
    <w:rsid w:val="000F788D"/>
    <w:rsid w:val="00100BB8"/>
    <w:rsid w:val="00101C16"/>
    <w:rsid w:val="00104AC8"/>
    <w:rsid w:val="00105177"/>
    <w:rsid w:val="00105B9F"/>
    <w:rsid w:val="00107566"/>
    <w:rsid w:val="0011003E"/>
    <w:rsid w:val="00111A00"/>
    <w:rsid w:val="00114105"/>
    <w:rsid w:val="00115CB3"/>
    <w:rsid w:val="001206FE"/>
    <w:rsid w:val="00121083"/>
    <w:rsid w:val="00122F0F"/>
    <w:rsid w:val="00126B2A"/>
    <w:rsid w:val="0012777A"/>
    <w:rsid w:val="00132A68"/>
    <w:rsid w:val="001331D7"/>
    <w:rsid w:val="00135A95"/>
    <w:rsid w:val="00143336"/>
    <w:rsid w:val="00143401"/>
    <w:rsid w:val="00143C40"/>
    <w:rsid w:val="00145CC3"/>
    <w:rsid w:val="0015079E"/>
    <w:rsid w:val="00152D7E"/>
    <w:rsid w:val="00154115"/>
    <w:rsid w:val="00156A94"/>
    <w:rsid w:val="00162151"/>
    <w:rsid w:val="001621BF"/>
    <w:rsid w:val="00162298"/>
    <w:rsid w:val="00163D2E"/>
    <w:rsid w:val="00172A27"/>
    <w:rsid w:val="00173798"/>
    <w:rsid w:val="00173E8B"/>
    <w:rsid w:val="00174E25"/>
    <w:rsid w:val="00176EB9"/>
    <w:rsid w:val="001828C2"/>
    <w:rsid w:val="001903A2"/>
    <w:rsid w:val="00195AED"/>
    <w:rsid w:val="001970C8"/>
    <w:rsid w:val="00197999"/>
    <w:rsid w:val="001A0134"/>
    <w:rsid w:val="001A168A"/>
    <w:rsid w:val="001B17CC"/>
    <w:rsid w:val="001B3EB1"/>
    <w:rsid w:val="001B7439"/>
    <w:rsid w:val="001C0680"/>
    <w:rsid w:val="001C0B8E"/>
    <w:rsid w:val="001C384F"/>
    <w:rsid w:val="001C7ACD"/>
    <w:rsid w:val="001D2338"/>
    <w:rsid w:val="001D717A"/>
    <w:rsid w:val="001E37A6"/>
    <w:rsid w:val="001E6600"/>
    <w:rsid w:val="001F162E"/>
    <w:rsid w:val="001F46BE"/>
    <w:rsid w:val="001F6DDE"/>
    <w:rsid w:val="001F7A0C"/>
    <w:rsid w:val="002045D5"/>
    <w:rsid w:val="0020499A"/>
    <w:rsid w:val="0020534B"/>
    <w:rsid w:val="00213480"/>
    <w:rsid w:val="002139D7"/>
    <w:rsid w:val="002146D1"/>
    <w:rsid w:val="00214AD8"/>
    <w:rsid w:val="00215982"/>
    <w:rsid w:val="00216A3B"/>
    <w:rsid w:val="00221686"/>
    <w:rsid w:val="00222AC5"/>
    <w:rsid w:val="00225EC8"/>
    <w:rsid w:val="00232FD3"/>
    <w:rsid w:val="00234591"/>
    <w:rsid w:val="00234D6C"/>
    <w:rsid w:val="00243D10"/>
    <w:rsid w:val="00245229"/>
    <w:rsid w:val="00245893"/>
    <w:rsid w:val="00246E3B"/>
    <w:rsid w:val="00247988"/>
    <w:rsid w:val="00250799"/>
    <w:rsid w:val="00251D4A"/>
    <w:rsid w:val="002526E1"/>
    <w:rsid w:val="00257071"/>
    <w:rsid w:val="00270414"/>
    <w:rsid w:val="00271B36"/>
    <w:rsid w:val="00273C64"/>
    <w:rsid w:val="002763D0"/>
    <w:rsid w:val="002826DE"/>
    <w:rsid w:val="002831FC"/>
    <w:rsid w:val="00287E6F"/>
    <w:rsid w:val="00291E81"/>
    <w:rsid w:val="00292F15"/>
    <w:rsid w:val="00292F8E"/>
    <w:rsid w:val="00294EC4"/>
    <w:rsid w:val="002A140C"/>
    <w:rsid w:val="002A1BF1"/>
    <w:rsid w:val="002A43A2"/>
    <w:rsid w:val="002A67B6"/>
    <w:rsid w:val="002B1A70"/>
    <w:rsid w:val="002B3036"/>
    <w:rsid w:val="002B4AF7"/>
    <w:rsid w:val="002C1971"/>
    <w:rsid w:val="002C2941"/>
    <w:rsid w:val="002C5CE4"/>
    <w:rsid w:val="002D02E7"/>
    <w:rsid w:val="002D20F2"/>
    <w:rsid w:val="002D5E7E"/>
    <w:rsid w:val="002D67E2"/>
    <w:rsid w:val="002D6ED0"/>
    <w:rsid w:val="002E1947"/>
    <w:rsid w:val="002E28C5"/>
    <w:rsid w:val="002E35BF"/>
    <w:rsid w:val="002F0DE6"/>
    <w:rsid w:val="002F45EE"/>
    <w:rsid w:val="002F4B74"/>
    <w:rsid w:val="0030073B"/>
    <w:rsid w:val="00305AC4"/>
    <w:rsid w:val="00306CBC"/>
    <w:rsid w:val="003073C7"/>
    <w:rsid w:val="00312A0F"/>
    <w:rsid w:val="00312A4B"/>
    <w:rsid w:val="003131D2"/>
    <w:rsid w:val="00313385"/>
    <w:rsid w:val="00314FAB"/>
    <w:rsid w:val="00321005"/>
    <w:rsid w:val="003227D7"/>
    <w:rsid w:val="0032534D"/>
    <w:rsid w:val="00326368"/>
    <w:rsid w:val="003279F1"/>
    <w:rsid w:val="003346EE"/>
    <w:rsid w:val="0033484C"/>
    <w:rsid w:val="00341376"/>
    <w:rsid w:val="00344552"/>
    <w:rsid w:val="00347C8B"/>
    <w:rsid w:val="00351452"/>
    <w:rsid w:val="00353543"/>
    <w:rsid w:val="003536C8"/>
    <w:rsid w:val="003546C0"/>
    <w:rsid w:val="00354A7F"/>
    <w:rsid w:val="003559F6"/>
    <w:rsid w:val="0036009E"/>
    <w:rsid w:val="0036599B"/>
    <w:rsid w:val="00371C18"/>
    <w:rsid w:val="00371E4A"/>
    <w:rsid w:val="00371EBB"/>
    <w:rsid w:val="003751BA"/>
    <w:rsid w:val="003827ED"/>
    <w:rsid w:val="00384733"/>
    <w:rsid w:val="00385748"/>
    <w:rsid w:val="00386047"/>
    <w:rsid w:val="003863F3"/>
    <w:rsid w:val="0039611D"/>
    <w:rsid w:val="00397098"/>
    <w:rsid w:val="00397D76"/>
    <w:rsid w:val="003A39B9"/>
    <w:rsid w:val="003A5BC3"/>
    <w:rsid w:val="003A6A58"/>
    <w:rsid w:val="003B2404"/>
    <w:rsid w:val="003B3287"/>
    <w:rsid w:val="003B39C8"/>
    <w:rsid w:val="003B42E9"/>
    <w:rsid w:val="003B4BA1"/>
    <w:rsid w:val="003C19CA"/>
    <w:rsid w:val="003C31BD"/>
    <w:rsid w:val="003C49BC"/>
    <w:rsid w:val="003C5970"/>
    <w:rsid w:val="003C5AC1"/>
    <w:rsid w:val="003D1718"/>
    <w:rsid w:val="003D4B7D"/>
    <w:rsid w:val="003D4CCE"/>
    <w:rsid w:val="003D599A"/>
    <w:rsid w:val="003D5A36"/>
    <w:rsid w:val="003E408D"/>
    <w:rsid w:val="003E5D78"/>
    <w:rsid w:val="003E6942"/>
    <w:rsid w:val="003E7769"/>
    <w:rsid w:val="003E7BC0"/>
    <w:rsid w:val="003F3CC1"/>
    <w:rsid w:val="00401712"/>
    <w:rsid w:val="00403580"/>
    <w:rsid w:val="004056C2"/>
    <w:rsid w:val="00406723"/>
    <w:rsid w:val="004079C8"/>
    <w:rsid w:val="004135E4"/>
    <w:rsid w:val="0042117C"/>
    <w:rsid w:val="0042404B"/>
    <w:rsid w:val="0043582D"/>
    <w:rsid w:val="00436CEC"/>
    <w:rsid w:val="00437DF0"/>
    <w:rsid w:val="004422EA"/>
    <w:rsid w:val="00443250"/>
    <w:rsid w:val="004506A0"/>
    <w:rsid w:val="00456308"/>
    <w:rsid w:val="00456AB0"/>
    <w:rsid w:val="00463DF6"/>
    <w:rsid w:val="00467A0C"/>
    <w:rsid w:val="0047255A"/>
    <w:rsid w:val="0047426C"/>
    <w:rsid w:val="0047467F"/>
    <w:rsid w:val="00476640"/>
    <w:rsid w:val="004821FE"/>
    <w:rsid w:val="0048765D"/>
    <w:rsid w:val="00487F12"/>
    <w:rsid w:val="00491B3A"/>
    <w:rsid w:val="00491FFA"/>
    <w:rsid w:val="004934E6"/>
    <w:rsid w:val="00493893"/>
    <w:rsid w:val="004938A1"/>
    <w:rsid w:val="0049599B"/>
    <w:rsid w:val="004A0D8A"/>
    <w:rsid w:val="004A4FDC"/>
    <w:rsid w:val="004B4B4C"/>
    <w:rsid w:val="004B5246"/>
    <w:rsid w:val="004C215F"/>
    <w:rsid w:val="004C2557"/>
    <w:rsid w:val="004C70B5"/>
    <w:rsid w:val="004D5E39"/>
    <w:rsid w:val="004D6095"/>
    <w:rsid w:val="004D6444"/>
    <w:rsid w:val="004D7338"/>
    <w:rsid w:val="004E40CE"/>
    <w:rsid w:val="004F05BF"/>
    <w:rsid w:val="004F5D98"/>
    <w:rsid w:val="004F642A"/>
    <w:rsid w:val="00505DB1"/>
    <w:rsid w:val="00506F87"/>
    <w:rsid w:val="00507B92"/>
    <w:rsid w:val="00510BC3"/>
    <w:rsid w:val="00512A9D"/>
    <w:rsid w:val="005135AC"/>
    <w:rsid w:val="005176CC"/>
    <w:rsid w:val="00544603"/>
    <w:rsid w:val="005454CE"/>
    <w:rsid w:val="0055147E"/>
    <w:rsid w:val="005548F8"/>
    <w:rsid w:val="00555303"/>
    <w:rsid w:val="00557671"/>
    <w:rsid w:val="005647BF"/>
    <w:rsid w:val="00574AE5"/>
    <w:rsid w:val="00576510"/>
    <w:rsid w:val="0057659A"/>
    <w:rsid w:val="00583CCC"/>
    <w:rsid w:val="00585419"/>
    <w:rsid w:val="005867C4"/>
    <w:rsid w:val="00590B1C"/>
    <w:rsid w:val="005925DF"/>
    <w:rsid w:val="00593BEA"/>
    <w:rsid w:val="005945B8"/>
    <w:rsid w:val="005A0E0F"/>
    <w:rsid w:val="005A24E0"/>
    <w:rsid w:val="005A63BF"/>
    <w:rsid w:val="005A66CB"/>
    <w:rsid w:val="005A785A"/>
    <w:rsid w:val="005B0C1C"/>
    <w:rsid w:val="005B2144"/>
    <w:rsid w:val="005B2F38"/>
    <w:rsid w:val="005B2FD0"/>
    <w:rsid w:val="005B4EFD"/>
    <w:rsid w:val="005B7535"/>
    <w:rsid w:val="005C0DE9"/>
    <w:rsid w:val="005C53B1"/>
    <w:rsid w:val="005C5985"/>
    <w:rsid w:val="005C5B5A"/>
    <w:rsid w:val="005C67C9"/>
    <w:rsid w:val="005C7441"/>
    <w:rsid w:val="005D32C5"/>
    <w:rsid w:val="005E0C0B"/>
    <w:rsid w:val="005E128E"/>
    <w:rsid w:val="005E2069"/>
    <w:rsid w:val="005E51A3"/>
    <w:rsid w:val="005E65B3"/>
    <w:rsid w:val="005E750F"/>
    <w:rsid w:val="005E77FA"/>
    <w:rsid w:val="005F05C9"/>
    <w:rsid w:val="005F3142"/>
    <w:rsid w:val="005F3175"/>
    <w:rsid w:val="005F4E57"/>
    <w:rsid w:val="005F5C81"/>
    <w:rsid w:val="005F68C4"/>
    <w:rsid w:val="005F6AE2"/>
    <w:rsid w:val="005F7888"/>
    <w:rsid w:val="0060176C"/>
    <w:rsid w:val="00607E57"/>
    <w:rsid w:val="00613BB2"/>
    <w:rsid w:val="0061433E"/>
    <w:rsid w:val="00620635"/>
    <w:rsid w:val="00623DF3"/>
    <w:rsid w:val="00630A22"/>
    <w:rsid w:val="006313C2"/>
    <w:rsid w:val="0063419D"/>
    <w:rsid w:val="006350A9"/>
    <w:rsid w:val="00635D61"/>
    <w:rsid w:val="00641B49"/>
    <w:rsid w:val="00642188"/>
    <w:rsid w:val="006429BD"/>
    <w:rsid w:val="00644DB7"/>
    <w:rsid w:val="00647235"/>
    <w:rsid w:val="00650490"/>
    <w:rsid w:val="00652828"/>
    <w:rsid w:val="0065388D"/>
    <w:rsid w:val="00653ED1"/>
    <w:rsid w:val="00655105"/>
    <w:rsid w:val="00656FC3"/>
    <w:rsid w:val="0066079F"/>
    <w:rsid w:val="00661134"/>
    <w:rsid w:val="00662B24"/>
    <w:rsid w:val="00663563"/>
    <w:rsid w:val="0066430B"/>
    <w:rsid w:val="00664FC1"/>
    <w:rsid w:val="006661EF"/>
    <w:rsid w:val="006676B9"/>
    <w:rsid w:val="0067052E"/>
    <w:rsid w:val="0067328A"/>
    <w:rsid w:val="006759B1"/>
    <w:rsid w:val="0067614A"/>
    <w:rsid w:val="0067788D"/>
    <w:rsid w:val="00681855"/>
    <w:rsid w:val="006860D7"/>
    <w:rsid w:val="00686B9D"/>
    <w:rsid w:val="006903B2"/>
    <w:rsid w:val="00691C85"/>
    <w:rsid w:val="00692E9D"/>
    <w:rsid w:val="00693010"/>
    <w:rsid w:val="0069459D"/>
    <w:rsid w:val="00694984"/>
    <w:rsid w:val="006A03B7"/>
    <w:rsid w:val="006A667F"/>
    <w:rsid w:val="006B1DD6"/>
    <w:rsid w:val="006B35CD"/>
    <w:rsid w:val="006B44C8"/>
    <w:rsid w:val="006C2FDA"/>
    <w:rsid w:val="006C3803"/>
    <w:rsid w:val="006C7A34"/>
    <w:rsid w:val="006D0147"/>
    <w:rsid w:val="006D2EC0"/>
    <w:rsid w:val="006D45A2"/>
    <w:rsid w:val="006E2E08"/>
    <w:rsid w:val="006E5264"/>
    <w:rsid w:val="006E7099"/>
    <w:rsid w:val="006F1EFE"/>
    <w:rsid w:val="006F2C6B"/>
    <w:rsid w:val="006F3306"/>
    <w:rsid w:val="007008F7"/>
    <w:rsid w:val="00702FA1"/>
    <w:rsid w:val="00703861"/>
    <w:rsid w:val="00704585"/>
    <w:rsid w:val="00706E5C"/>
    <w:rsid w:val="0070711B"/>
    <w:rsid w:val="007074BB"/>
    <w:rsid w:val="00707920"/>
    <w:rsid w:val="00712D66"/>
    <w:rsid w:val="00713ADE"/>
    <w:rsid w:val="007158CA"/>
    <w:rsid w:val="00715923"/>
    <w:rsid w:val="00720BC2"/>
    <w:rsid w:val="00721258"/>
    <w:rsid w:val="00721780"/>
    <w:rsid w:val="00721EC6"/>
    <w:rsid w:val="007233AC"/>
    <w:rsid w:val="00723488"/>
    <w:rsid w:val="007239E8"/>
    <w:rsid w:val="00725B7B"/>
    <w:rsid w:val="007323E9"/>
    <w:rsid w:val="00733651"/>
    <w:rsid w:val="00734716"/>
    <w:rsid w:val="00735BCB"/>
    <w:rsid w:val="0073613C"/>
    <w:rsid w:val="007377DC"/>
    <w:rsid w:val="00744594"/>
    <w:rsid w:val="0075336B"/>
    <w:rsid w:val="00753E95"/>
    <w:rsid w:val="00757041"/>
    <w:rsid w:val="00760D8C"/>
    <w:rsid w:val="007701D5"/>
    <w:rsid w:val="00770A66"/>
    <w:rsid w:val="00772F48"/>
    <w:rsid w:val="00775B4F"/>
    <w:rsid w:val="007853F1"/>
    <w:rsid w:val="007925DD"/>
    <w:rsid w:val="00794C03"/>
    <w:rsid w:val="00796417"/>
    <w:rsid w:val="007A381A"/>
    <w:rsid w:val="007A4AA1"/>
    <w:rsid w:val="007A5A57"/>
    <w:rsid w:val="007A659B"/>
    <w:rsid w:val="007A679E"/>
    <w:rsid w:val="007B0B2B"/>
    <w:rsid w:val="007B271C"/>
    <w:rsid w:val="007B75E7"/>
    <w:rsid w:val="007C02F8"/>
    <w:rsid w:val="007C09FA"/>
    <w:rsid w:val="007C0E4F"/>
    <w:rsid w:val="007C2AE5"/>
    <w:rsid w:val="007C53D2"/>
    <w:rsid w:val="007C7D05"/>
    <w:rsid w:val="007D0B7A"/>
    <w:rsid w:val="007D6830"/>
    <w:rsid w:val="007E141A"/>
    <w:rsid w:val="007E1CF3"/>
    <w:rsid w:val="007E2E60"/>
    <w:rsid w:val="007E388B"/>
    <w:rsid w:val="007E3BE5"/>
    <w:rsid w:val="007E43CC"/>
    <w:rsid w:val="007E4B7B"/>
    <w:rsid w:val="007E578F"/>
    <w:rsid w:val="007E6A76"/>
    <w:rsid w:val="007F067F"/>
    <w:rsid w:val="007F09A2"/>
    <w:rsid w:val="007F0CD7"/>
    <w:rsid w:val="007F2172"/>
    <w:rsid w:val="007F2657"/>
    <w:rsid w:val="007F3D5D"/>
    <w:rsid w:val="007F4686"/>
    <w:rsid w:val="007F5135"/>
    <w:rsid w:val="007F61EF"/>
    <w:rsid w:val="00806C4E"/>
    <w:rsid w:val="008112B3"/>
    <w:rsid w:val="0081331C"/>
    <w:rsid w:val="00814A2C"/>
    <w:rsid w:val="00816166"/>
    <w:rsid w:val="00821333"/>
    <w:rsid w:val="008213C1"/>
    <w:rsid w:val="00823F72"/>
    <w:rsid w:val="00830115"/>
    <w:rsid w:val="008312E3"/>
    <w:rsid w:val="008349DA"/>
    <w:rsid w:val="00835E18"/>
    <w:rsid w:val="00836606"/>
    <w:rsid w:val="008368D7"/>
    <w:rsid w:val="008576BB"/>
    <w:rsid w:val="00860484"/>
    <w:rsid w:val="008606CA"/>
    <w:rsid w:val="0086131B"/>
    <w:rsid w:val="00862C03"/>
    <w:rsid w:val="00864671"/>
    <w:rsid w:val="00870079"/>
    <w:rsid w:val="008829BA"/>
    <w:rsid w:val="00890A40"/>
    <w:rsid w:val="0089568E"/>
    <w:rsid w:val="008A05A5"/>
    <w:rsid w:val="008A2AC2"/>
    <w:rsid w:val="008A42B0"/>
    <w:rsid w:val="008A4BA9"/>
    <w:rsid w:val="008A7D25"/>
    <w:rsid w:val="008B08E1"/>
    <w:rsid w:val="008B1729"/>
    <w:rsid w:val="008B3FEA"/>
    <w:rsid w:val="008C17B4"/>
    <w:rsid w:val="008C2785"/>
    <w:rsid w:val="008C2B53"/>
    <w:rsid w:val="008C3B14"/>
    <w:rsid w:val="008D16DF"/>
    <w:rsid w:val="008D2AC9"/>
    <w:rsid w:val="008D4D60"/>
    <w:rsid w:val="008D4F47"/>
    <w:rsid w:val="008E3432"/>
    <w:rsid w:val="008E4175"/>
    <w:rsid w:val="008F2F65"/>
    <w:rsid w:val="008F69A1"/>
    <w:rsid w:val="009007FD"/>
    <w:rsid w:val="00902749"/>
    <w:rsid w:val="0091240F"/>
    <w:rsid w:val="00913151"/>
    <w:rsid w:val="00916797"/>
    <w:rsid w:val="0092011B"/>
    <w:rsid w:val="00921F24"/>
    <w:rsid w:val="00931D59"/>
    <w:rsid w:val="00932B37"/>
    <w:rsid w:val="00937021"/>
    <w:rsid w:val="00946E0B"/>
    <w:rsid w:val="00947E40"/>
    <w:rsid w:val="00950369"/>
    <w:rsid w:val="00950992"/>
    <w:rsid w:val="00952DB9"/>
    <w:rsid w:val="00955419"/>
    <w:rsid w:val="009578C9"/>
    <w:rsid w:val="0096041E"/>
    <w:rsid w:val="00960557"/>
    <w:rsid w:val="00966B76"/>
    <w:rsid w:val="00971125"/>
    <w:rsid w:val="009732CB"/>
    <w:rsid w:val="00980150"/>
    <w:rsid w:val="00980B5A"/>
    <w:rsid w:val="00982752"/>
    <w:rsid w:val="00984CFD"/>
    <w:rsid w:val="0098544E"/>
    <w:rsid w:val="00985CDC"/>
    <w:rsid w:val="009865BB"/>
    <w:rsid w:val="009871AC"/>
    <w:rsid w:val="00991894"/>
    <w:rsid w:val="009967E7"/>
    <w:rsid w:val="009A0CB2"/>
    <w:rsid w:val="009A25F3"/>
    <w:rsid w:val="009A53E0"/>
    <w:rsid w:val="009B5C44"/>
    <w:rsid w:val="009B5C5B"/>
    <w:rsid w:val="009B72F4"/>
    <w:rsid w:val="009C0D8D"/>
    <w:rsid w:val="009C14D0"/>
    <w:rsid w:val="009C5AD1"/>
    <w:rsid w:val="009C75E1"/>
    <w:rsid w:val="009D11D2"/>
    <w:rsid w:val="009D2A0F"/>
    <w:rsid w:val="009D79EC"/>
    <w:rsid w:val="009D79F8"/>
    <w:rsid w:val="009E5D07"/>
    <w:rsid w:val="009F1D4E"/>
    <w:rsid w:val="009F4176"/>
    <w:rsid w:val="009F4DB5"/>
    <w:rsid w:val="009F7B82"/>
    <w:rsid w:val="00A00ECF"/>
    <w:rsid w:val="00A03BC6"/>
    <w:rsid w:val="00A03DFB"/>
    <w:rsid w:val="00A0482F"/>
    <w:rsid w:val="00A0766F"/>
    <w:rsid w:val="00A0793E"/>
    <w:rsid w:val="00A11715"/>
    <w:rsid w:val="00A17DD9"/>
    <w:rsid w:val="00A202BB"/>
    <w:rsid w:val="00A23B2D"/>
    <w:rsid w:val="00A26173"/>
    <w:rsid w:val="00A26F01"/>
    <w:rsid w:val="00A2765F"/>
    <w:rsid w:val="00A31843"/>
    <w:rsid w:val="00A3321F"/>
    <w:rsid w:val="00A351FE"/>
    <w:rsid w:val="00A40B87"/>
    <w:rsid w:val="00A41592"/>
    <w:rsid w:val="00A45456"/>
    <w:rsid w:val="00A5121B"/>
    <w:rsid w:val="00A57333"/>
    <w:rsid w:val="00A66073"/>
    <w:rsid w:val="00A66A91"/>
    <w:rsid w:val="00A67094"/>
    <w:rsid w:val="00A729BC"/>
    <w:rsid w:val="00A732EB"/>
    <w:rsid w:val="00A74027"/>
    <w:rsid w:val="00A74A2A"/>
    <w:rsid w:val="00A75282"/>
    <w:rsid w:val="00A7649C"/>
    <w:rsid w:val="00A8473F"/>
    <w:rsid w:val="00A85A99"/>
    <w:rsid w:val="00A875F1"/>
    <w:rsid w:val="00A94D4B"/>
    <w:rsid w:val="00AA0E91"/>
    <w:rsid w:val="00AA111F"/>
    <w:rsid w:val="00AA35BE"/>
    <w:rsid w:val="00AA532B"/>
    <w:rsid w:val="00AA6F75"/>
    <w:rsid w:val="00AB1DA6"/>
    <w:rsid w:val="00AB27AB"/>
    <w:rsid w:val="00AB3029"/>
    <w:rsid w:val="00AB3389"/>
    <w:rsid w:val="00AB562D"/>
    <w:rsid w:val="00AB65AE"/>
    <w:rsid w:val="00AC1DDC"/>
    <w:rsid w:val="00AC2474"/>
    <w:rsid w:val="00AC3354"/>
    <w:rsid w:val="00AC345E"/>
    <w:rsid w:val="00AC3EBE"/>
    <w:rsid w:val="00AD1B0F"/>
    <w:rsid w:val="00AD54CD"/>
    <w:rsid w:val="00AD74AF"/>
    <w:rsid w:val="00AE0F34"/>
    <w:rsid w:val="00AE16B5"/>
    <w:rsid w:val="00AE28EE"/>
    <w:rsid w:val="00AE3CDA"/>
    <w:rsid w:val="00AF5980"/>
    <w:rsid w:val="00B00650"/>
    <w:rsid w:val="00B011AE"/>
    <w:rsid w:val="00B01C80"/>
    <w:rsid w:val="00B03F22"/>
    <w:rsid w:val="00B07AFA"/>
    <w:rsid w:val="00B12D8B"/>
    <w:rsid w:val="00B144E7"/>
    <w:rsid w:val="00B171AA"/>
    <w:rsid w:val="00B17614"/>
    <w:rsid w:val="00B202ED"/>
    <w:rsid w:val="00B26562"/>
    <w:rsid w:val="00B34AE4"/>
    <w:rsid w:val="00B431B4"/>
    <w:rsid w:val="00B50FE1"/>
    <w:rsid w:val="00B55F70"/>
    <w:rsid w:val="00B6468A"/>
    <w:rsid w:val="00B71489"/>
    <w:rsid w:val="00B71814"/>
    <w:rsid w:val="00B71AF0"/>
    <w:rsid w:val="00B7391C"/>
    <w:rsid w:val="00B75FA3"/>
    <w:rsid w:val="00B76A83"/>
    <w:rsid w:val="00B8410B"/>
    <w:rsid w:val="00B86402"/>
    <w:rsid w:val="00B86A83"/>
    <w:rsid w:val="00B878DF"/>
    <w:rsid w:val="00B9212F"/>
    <w:rsid w:val="00BA1064"/>
    <w:rsid w:val="00BA3596"/>
    <w:rsid w:val="00BA7198"/>
    <w:rsid w:val="00BB01F7"/>
    <w:rsid w:val="00BB3E60"/>
    <w:rsid w:val="00BC1127"/>
    <w:rsid w:val="00BC1BE2"/>
    <w:rsid w:val="00BC1CE7"/>
    <w:rsid w:val="00BC20A6"/>
    <w:rsid w:val="00BC37CD"/>
    <w:rsid w:val="00BC4F33"/>
    <w:rsid w:val="00BC5C21"/>
    <w:rsid w:val="00BD02DD"/>
    <w:rsid w:val="00BD4C8C"/>
    <w:rsid w:val="00BE4A1D"/>
    <w:rsid w:val="00BF1135"/>
    <w:rsid w:val="00BF1CA9"/>
    <w:rsid w:val="00BF5792"/>
    <w:rsid w:val="00BF5B87"/>
    <w:rsid w:val="00C01785"/>
    <w:rsid w:val="00C12012"/>
    <w:rsid w:val="00C12629"/>
    <w:rsid w:val="00C13007"/>
    <w:rsid w:val="00C149C4"/>
    <w:rsid w:val="00C15529"/>
    <w:rsid w:val="00C20832"/>
    <w:rsid w:val="00C22A24"/>
    <w:rsid w:val="00C24375"/>
    <w:rsid w:val="00C3400E"/>
    <w:rsid w:val="00C379B0"/>
    <w:rsid w:val="00C423AB"/>
    <w:rsid w:val="00C44773"/>
    <w:rsid w:val="00C47468"/>
    <w:rsid w:val="00C57649"/>
    <w:rsid w:val="00C57935"/>
    <w:rsid w:val="00C62584"/>
    <w:rsid w:val="00C62E89"/>
    <w:rsid w:val="00C66B8A"/>
    <w:rsid w:val="00C7321F"/>
    <w:rsid w:val="00C73B27"/>
    <w:rsid w:val="00C74CC2"/>
    <w:rsid w:val="00C825BE"/>
    <w:rsid w:val="00C82C13"/>
    <w:rsid w:val="00C82C8F"/>
    <w:rsid w:val="00C83F73"/>
    <w:rsid w:val="00C87518"/>
    <w:rsid w:val="00C901D0"/>
    <w:rsid w:val="00C93843"/>
    <w:rsid w:val="00C9486F"/>
    <w:rsid w:val="00C9594F"/>
    <w:rsid w:val="00CA1E44"/>
    <w:rsid w:val="00CA2B85"/>
    <w:rsid w:val="00CA2CA2"/>
    <w:rsid w:val="00CA4C3F"/>
    <w:rsid w:val="00CA76CA"/>
    <w:rsid w:val="00CB38D0"/>
    <w:rsid w:val="00CB546A"/>
    <w:rsid w:val="00CB7B2D"/>
    <w:rsid w:val="00CC1B76"/>
    <w:rsid w:val="00CC3027"/>
    <w:rsid w:val="00CC40B9"/>
    <w:rsid w:val="00CC4188"/>
    <w:rsid w:val="00CD0466"/>
    <w:rsid w:val="00CD1F0A"/>
    <w:rsid w:val="00CE0C7C"/>
    <w:rsid w:val="00CE62C5"/>
    <w:rsid w:val="00CF0654"/>
    <w:rsid w:val="00CF13C8"/>
    <w:rsid w:val="00CF1D17"/>
    <w:rsid w:val="00CF43B4"/>
    <w:rsid w:val="00CF5B07"/>
    <w:rsid w:val="00D00303"/>
    <w:rsid w:val="00D025CF"/>
    <w:rsid w:val="00D02803"/>
    <w:rsid w:val="00D04050"/>
    <w:rsid w:val="00D052EE"/>
    <w:rsid w:val="00D05607"/>
    <w:rsid w:val="00D1238F"/>
    <w:rsid w:val="00D12519"/>
    <w:rsid w:val="00D14BE9"/>
    <w:rsid w:val="00D16D44"/>
    <w:rsid w:val="00D20DA6"/>
    <w:rsid w:val="00D221D4"/>
    <w:rsid w:val="00D23439"/>
    <w:rsid w:val="00D24015"/>
    <w:rsid w:val="00D25925"/>
    <w:rsid w:val="00D25EA3"/>
    <w:rsid w:val="00D30996"/>
    <w:rsid w:val="00D347D8"/>
    <w:rsid w:val="00D358D1"/>
    <w:rsid w:val="00D37905"/>
    <w:rsid w:val="00D44F7A"/>
    <w:rsid w:val="00D50E83"/>
    <w:rsid w:val="00D519C6"/>
    <w:rsid w:val="00D52A3F"/>
    <w:rsid w:val="00D52BD9"/>
    <w:rsid w:val="00D52C31"/>
    <w:rsid w:val="00D53FCC"/>
    <w:rsid w:val="00D56580"/>
    <w:rsid w:val="00D56C68"/>
    <w:rsid w:val="00D603E8"/>
    <w:rsid w:val="00D618FE"/>
    <w:rsid w:val="00D6574E"/>
    <w:rsid w:val="00D735DB"/>
    <w:rsid w:val="00D736E9"/>
    <w:rsid w:val="00D809FC"/>
    <w:rsid w:val="00D81A38"/>
    <w:rsid w:val="00D82BEE"/>
    <w:rsid w:val="00D83490"/>
    <w:rsid w:val="00D83750"/>
    <w:rsid w:val="00D859CC"/>
    <w:rsid w:val="00D9658E"/>
    <w:rsid w:val="00D9774E"/>
    <w:rsid w:val="00DA2896"/>
    <w:rsid w:val="00DA4E9F"/>
    <w:rsid w:val="00DA6E81"/>
    <w:rsid w:val="00DA740E"/>
    <w:rsid w:val="00DB0326"/>
    <w:rsid w:val="00DB6502"/>
    <w:rsid w:val="00DC02CF"/>
    <w:rsid w:val="00DC0718"/>
    <w:rsid w:val="00DC12FB"/>
    <w:rsid w:val="00DC1C68"/>
    <w:rsid w:val="00DC4DDA"/>
    <w:rsid w:val="00DC5A69"/>
    <w:rsid w:val="00DC77F9"/>
    <w:rsid w:val="00DC7F34"/>
    <w:rsid w:val="00DD1709"/>
    <w:rsid w:val="00DD709C"/>
    <w:rsid w:val="00DE72D4"/>
    <w:rsid w:val="00DE744A"/>
    <w:rsid w:val="00DE752F"/>
    <w:rsid w:val="00DF19C6"/>
    <w:rsid w:val="00DF6D9D"/>
    <w:rsid w:val="00E00255"/>
    <w:rsid w:val="00E00499"/>
    <w:rsid w:val="00E070CD"/>
    <w:rsid w:val="00E14A4D"/>
    <w:rsid w:val="00E15F18"/>
    <w:rsid w:val="00E20269"/>
    <w:rsid w:val="00E22538"/>
    <w:rsid w:val="00E23439"/>
    <w:rsid w:val="00E274B2"/>
    <w:rsid w:val="00E32062"/>
    <w:rsid w:val="00E32410"/>
    <w:rsid w:val="00E37E8C"/>
    <w:rsid w:val="00E43665"/>
    <w:rsid w:val="00E45B17"/>
    <w:rsid w:val="00E50C2D"/>
    <w:rsid w:val="00E5213F"/>
    <w:rsid w:val="00E52B0B"/>
    <w:rsid w:val="00E558A1"/>
    <w:rsid w:val="00E56778"/>
    <w:rsid w:val="00E6220A"/>
    <w:rsid w:val="00E62633"/>
    <w:rsid w:val="00E633DC"/>
    <w:rsid w:val="00E64F40"/>
    <w:rsid w:val="00E6672A"/>
    <w:rsid w:val="00E67693"/>
    <w:rsid w:val="00E67C2A"/>
    <w:rsid w:val="00E7002D"/>
    <w:rsid w:val="00E7432B"/>
    <w:rsid w:val="00E74484"/>
    <w:rsid w:val="00E77911"/>
    <w:rsid w:val="00E80790"/>
    <w:rsid w:val="00E829B8"/>
    <w:rsid w:val="00E83E4A"/>
    <w:rsid w:val="00E863F9"/>
    <w:rsid w:val="00E8795F"/>
    <w:rsid w:val="00E95C9D"/>
    <w:rsid w:val="00EA0E4F"/>
    <w:rsid w:val="00EA1D86"/>
    <w:rsid w:val="00EA2643"/>
    <w:rsid w:val="00EA34DC"/>
    <w:rsid w:val="00EB2330"/>
    <w:rsid w:val="00EB2A9B"/>
    <w:rsid w:val="00EB2B63"/>
    <w:rsid w:val="00EB2D52"/>
    <w:rsid w:val="00EB3310"/>
    <w:rsid w:val="00EB3B4E"/>
    <w:rsid w:val="00EB480A"/>
    <w:rsid w:val="00EC027E"/>
    <w:rsid w:val="00EC3779"/>
    <w:rsid w:val="00EC40F8"/>
    <w:rsid w:val="00EC4D23"/>
    <w:rsid w:val="00ED653F"/>
    <w:rsid w:val="00EE2AA0"/>
    <w:rsid w:val="00EE69FC"/>
    <w:rsid w:val="00EF2837"/>
    <w:rsid w:val="00EF5C8D"/>
    <w:rsid w:val="00EF6C8E"/>
    <w:rsid w:val="00F0038C"/>
    <w:rsid w:val="00F011F1"/>
    <w:rsid w:val="00F041E2"/>
    <w:rsid w:val="00F0631D"/>
    <w:rsid w:val="00F11009"/>
    <w:rsid w:val="00F1723C"/>
    <w:rsid w:val="00F20F76"/>
    <w:rsid w:val="00F210E3"/>
    <w:rsid w:val="00F25A17"/>
    <w:rsid w:val="00F26619"/>
    <w:rsid w:val="00F2755C"/>
    <w:rsid w:val="00F3670F"/>
    <w:rsid w:val="00F37D49"/>
    <w:rsid w:val="00F40D68"/>
    <w:rsid w:val="00F43117"/>
    <w:rsid w:val="00F43420"/>
    <w:rsid w:val="00F44D9A"/>
    <w:rsid w:val="00F509B4"/>
    <w:rsid w:val="00F67109"/>
    <w:rsid w:val="00F7218E"/>
    <w:rsid w:val="00F727D1"/>
    <w:rsid w:val="00F742BF"/>
    <w:rsid w:val="00F80D2C"/>
    <w:rsid w:val="00F82248"/>
    <w:rsid w:val="00F82D02"/>
    <w:rsid w:val="00F83528"/>
    <w:rsid w:val="00F86934"/>
    <w:rsid w:val="00F9085C"/>
    <w:rsid w:val="00F90D10"/>
    <w:rsid w:val="00F912C1"/>
    <w:rsid w:val="00F913B3"/>
    <w:rsid w:val="00F95304"/>
    <w:rsid w:val="00F96806"/>
    <w:rsid w:val="00FA73BB"/>
    <w:rsid w:val="00FA7BCF"/>
    <w:rsid w:val="00FB33BE"/>
    <w:rsid w:val="00FB51F2"/>
    <w:rsid w:val="00FB5793"/>
    <w:rsid w:val="00FC560A"/>
    <w:rsid w:val="00FC61A2"/>
    <w:rsid w:val="00FD23D5"/>
    <w:rsid w:val="00FD4385"/>
    <w:rsid w:val="00FE2FC2"/>
    <w:rsid w:val="00FE4A2A"/>
    <w:rsid w:val="00FE4D37"/>
    <w:rsid w:val="00FF4AB5"/>
    <w:rsid w:val="00FF532F"/>
    <w:rsid w:val="00FF53D3"/>
    <w:rsid w:val="00FF6184"/>
    <w:rsid w:val="00FF7901"/>
    <w:rsid w:val="03A714A6"/>
    <w:rsid w:val="03FD5967"/>
    <w:rsid w:val="04C8213D"/>
    <w:rsid w:val="04E35DC0"/>
    <w:rsid w:val="05F035F0"/>
    <w:rsid w:val="06F975B0"/>
    <w:rsid w:val="07DB3BFF"/>
    <w:rsid w:val="0D531611"/>
    <w:rsid w:val="12336B6B"/>
    <w:rsid w:val="14255524"/>
    <w:rsid w:val="1ECA3D89"/>
    <w:rsid w:val="28406118"/>
    <w:rsid w:val="29167C98"/>
    <w:rsid w:val="297A560F"/>
    <w:rsid w:val="2A8A37F8"/>
    <w:rsid w:val="2B144428"/>
    <w:rsid w:val="2CEA38C5"/>
    <w:rsid w:val="3241706E"/>
    <w:rsid w:val="35EB6DD3"/>
    <w:rsid w:val="36DF6106"/>
    <w:rsid w:val="377E79E0"/>
    <w:rsid w:val="37FA67F4"/>
    <w:rsid w:val="39496376"/>
    <w:rsid w:val="41F069A7"/>
    <w:rsid w:val="42560EC2"/>
    <w:rsid w:val="43716E43"/>
    <w:rsid w:val="47AC0D06"/>
    <w:rsid w:val="4CC53B18"/>
    <w:rsid w:val="50152A21"/>
    <w:rsid w:val="54DA9AFF"/>
    <w:rsid w:val="56A37B8A"/>
    <w:rsid w:val="618B730C"/>
    <w:rsid w:val="653A620F"/>
    <w:rsid w:val="67B8460E"/>
    <w:rsid w:val="6B143644"/>
    <w:rsid w:val="6DD8450A"/>
    <w:rsid w:val="6DF31860"/>
    <w:rsid w:val="71525805"/>
    <w:rsid w:val="740372A8"/>
    <w:rsid w:val="75845AEB"/>
    <w:rsid w:val="773D428F"/>
    <w:rsid w:val="7A002FF4"/>
    <w:rsid w:val="7D127081"/>
    <w:rsid w:val="7EBD11E9"/>
    <w:rsid w:val="7EFEF4FC"/>
    <w:rsid w:val="C2F3F823"/>
    <w:rsid w:val="EDFF1954"/>
    <w:rsid w:val="FDFF989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name="toc 1"/>
    <w:lsdException w:qFormat="1" w:unhideWhenUsed="0" w:uiPriority="0" w:name="toc 2"/>
    <w:lsdException w:qFormat="1" w:unhideWhenUsed="0" w:uiPriority="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semiHidden="0" w:name="Normal Indent"/>
    <w:lsdException w:qFormat="1" w:unhideWhenUsed="0" w:uiPriority="0" w:name="footnote text"/>
    <w:lsdException w:qFormat="1" w:unhideWhenUsed="0" w:uiPriority="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nhideWhenUsed="0" w:uiPriority="0" w:name="footnote reference"/>
    <w:lsdException w:qFormat="1" w:unhideWhenUsed="0" w:uiPriority="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qFormat="1"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qFormat="1"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qFormat/>
    <w:uiPriority w:val="0"/>
    <w:pPr>
      <w:keepNext/>
      <w:keepLines/>
      <w:spacing w:before="340" w:after="330" w:line="578" w:lineRule="auto"/>
      <w:outlineLvl w:val="0"/>
    </w:pPr>
    <w:rPr>
      <w:b/>
      <w:bCs/>
      <w:kern w:val="44"/>
      <w:sz w:val="44"/>
      <w:szCs w:val="44"/>
    </w:rPr>
  </w:style>
  <w:style w:type="paragraph" w:styleId="3">
    <w:name w:val="heading 2"/>
    <w:basedOn w:val="1"/>
    <w:next w:val="1"/>
    <w:qFormat/>
    <w:uiPriority w:val="0"/>
    <w:pPr>
      <w:keepNext/>
      <w:keepLines/>
      <w:spacing w:before="260" w:after="260" w:line="416" w:lineRule="auto"/>
      <w:outlineLvl w:val="1"/>
    </w:pPr>
    <w:rPr>
      <w:rFonts w:ascii="Arial" w:hAnsi="Arial" w:eastAsia="黑体"/>
      <w:b/>
      <w:bCs/>
      <w:sz w:val="32"/>
      <w:szCs w:val="32"/>
    </w:rPr>
  </w:style>
  <w:style w:type="paragraph" w:styleId="4">
    <w:name w:val="heading 3"/>
    <w:basedOn w:val="1"/>
    <w:next w:val="1"/>
    <w:qFormat/>
    <w:uiPriority w:val="0"/>
    <w:pPr>
      <w:keepNext/>
      <w:keepLines/>
      <w:spacing w:before="260" w:after="260" w:line="416" w:lineRule="auto"/>
      <w:outlineLvl w:val="2"/>
    </w:pPr>
    <w:rPr>
      <w:b/>
      <w:bCs/>
      <w:sz w:val="32"/>
      <w:szCs w:val="32"/>
    </w:rPr>
  </w:style>
  <w:style w:type="paragraph" w:styleId="5">
    <w:name w:val="heading 4"/>
    <w:basedOn w:val="1"/>
    <w:next w:val="1"/>
    <w:qFormat/>
    <w:uiPriority w:val="0"/>
    <w:pPr>
      <w:keepNext/>
      <w:keepLines/>
      <w:spacing w:before="280" w:after="290" w:line="376" w:lineRule="auto"/>
      <w:outlineLvl w:val="3"/>
    </w:pPr>
    <w:rPr>
      <w:rFonts w:ascii="Arial" w:hAnsi="Arial" w:eastAsia="黑体"/>
      <w:b/>
      <w:bCs/>
      <w:sz w:val="28"/>
      <w:szCs w:val="28"/>
    </w:rPr>
  </w:style>
  <w:style w:type="paragraph" w:styleId="6">
    <w:name w:val="heading 5"/>
    <w:basedOn w:val="1"/>
    <w:next w:val="1"/>
    <w:qFormat/>
    <w:uiPriority w:val="0"/>
    <w:pPr>
      <w:keepNext/>
      <w:keepLines/>
      <w:spacing w:before="280" w:after="290" w:line="376" w:lineRule="auto"/>
      <w:outlineLvl w:val="4"/>
    </w:pPr>
    <w:rPr>
      <w:b/>
      <w:bCs/>
      <w:sz w:val="28"/>
      <w:szCs w:val="28"/>
    </w:rPr>
  </w:style>
  <w:style w:type="paragraph" w:styleId="7">
    <w:name w:val="heading 6"/>
    <w:basedOn w:val="1"/>
    <w:next w:val="1"/>
    <w:qFormat/>
    <w:uiPriority w:val="0"/>
    <w:pPr>
      <w:keepNext/>
      <w:keepLines/>
      <w:spacing w:before="240" w:after="64" w:line="320" w:lineRule="auto"/>
      <w:outlineLvl w:val="5"/>
    </w:pPr>
    <w:rPr>
      <w:rFonts w:ascii="Arial" w:hAnsi="Arial" w:eastAsia="黑体"/>
      <w:b/>
      <w:bCs/>
      <w:sz w:val="24"/>
    </w:rPr>
  </w:style>
  <w:style w:type="paragraph" w:styleId="8">
    <w:name w:val="heading 7"/>
    <w:basedOn w:val="1"/>
    <w:next w:val="1"/>
    <w:qFormat/>
    <w:uiPriority w:val="0"/>
    <w:pPr>
      <w:keepNext/>
      <w:keepLines/>
      <w:spacing w:before="240" w:after="64" w:line="320" w:lineRule="auto"/>
      <w:outlineLvl w:val="6"/>
    </w:pPr>
    <w:rPr>
      <w:b/>
      <w:bCs/>
      <w:sz w:val="24"/>
    </w:rPr>
  </w:style>
  <w:style w:type="paragraph" w:styleId="9">
    <w:name w:val="heading 8"/>
    <w:basedOn w:val="1"/>
    <w:next w:val="1"/>
    <w:qFormat/>
    <w:uiPriority w:val="0"/>
    <w:pPr>
      <w:keepNext/>
      <w:keepLines/>
      <w:spacing w:before="240" w:after="64" w:line="320" w:lineRule="auto"/>
      <w:outlineLvl w:val="7"/>
    </w:pPr>
    <w:rPr>
      <w:rFonts w:ascii="Arial" w:hAnsi="Arial" w:eastAsia="黑体"/>
      <w:sz w:val="24"/>
    </w:rPr>
  </w:style>
  <w:style w:type="paragraph" w:styleId="10">
    <w:name w:val="heading 9"/>
    <w:basedOn w:val="1"/>
    <w:next w:val="1"/>
    <w:qFormat/>
    <w:uiPriority w:val="0"/>
    <w:pPr>
      <w:keepNext/>
      <w:keepLines/>
      <w:spacing w:before="240" w:after="64" w:line="320" w:lineRule="auto"/>
      <w:outlineLvl w:val="8"/>
    </w:pPr>
    <w:rPr>
      <w:rFonts w:ascii="Arial" w:hAnsi="Arial" w:eastAsia="黑体"/>
      <w:szCs w:val="21"/>
    </w:rPr>
  </w:style>
  <w:style w:type="character" w:default="1" w:styleId="40">
    <w:name w:val="Default Paragraph Font"/>
    <w:semiHidden/>
    <w:unhideWhenUsed/>
    <w:qFormat/>
    <w:uiPriority w:val="1"/>
  </w:style>
  <w:style w:type="table" w:default="1" w:styleId="38">
    <w:name w:val="Normal Table"/>
    <w:semiHidden/>
    <w:unhideWhenUsed/>
    <w:qFormat/>
    <w:uiPriority w:val="99"/>
    <w:tblPr>
      <w:tblCellMar>
        <w:top w:w="0" w:type="dxa"/>
        <w:left w:w="108" w:type="dxa"/>
        <w:bottom w:w="0" w:type="dxa"/>
        <w:right w:w="108" w:type="dxa"/>
      </w:tblCellMar>
    </w:tblPr>
  </w:style>
  <w:style w:type="paragraph" w:styleId="11">
    <w:name w:val="toc 7"/>
    <w:basedOn w:val="12"/>
    <w:next w:val="1"/>
    <w:semiHidden/>
    <w:qFormat/>
    <w:uiPriority w:val="0"/>
  </w:style>
  <w:style w:type="paragraph" w:styleId="12">
    <w:name w:val="toc 6"/>
    <w:basedOn w:val="13"/>
    <w:next w:val="1"/>
    <w:semiHidden/>
    <w:qFormat/>
    <w:uiPriority w:val="0"/>
  </w:style>
  <w:style w:type="paragraph" w:styleId="13">
    <w:name w:val="toc 5"/>
    <w:basedOn w:val="14"/>
    <w:next w:val="1"/>
    <w:semiHidden/>
    <w:qFormat/>
    <w:uiPriority w:val="0"/>
  </w:style>
  <w:style w:type="paragraph" w:styleId="14">
    <w:name w:val="toc 4"/>
    <w:basedOn w:val="15"/>
    <w:next w:val="1"/>
    <w:semiHidden/>
    <w:qFormat/>
    <w:uiPriority w:val="0"/>
  </w:style>
  <w:style w:type="paragraph" w:styleId="15">
    <w:name w:val="toc 3"/>
    <w:basedOn w:val="16"/>
    <w:next w:val="1"/>
    <w:semiHidden/>
    <w:qFormat/>
    <w:uiPriority w:val="0"/>
  </w:style>
  <w:style w:type="paragraph" w:styleId="16">
    <w:name w:val="toc 2"/>
    <w:basedOn w:val="17"/>
    <w:next w:val="1"/>
    <w:semiHidden/>
    <w:qFormat/>
    <w:uiPriority w:val="0"/>
  </w:style>
  <w:style w:type="paragraph" w:styleId="17">
    <w:name w:val="toc 1"/>
    <w:next w:val="1"/>
    <w:semiHidden/>
    <w:qFormat/>
    <w:uiPriority w:val="0"/>
    <w:pPr>
      <w:jc w:val="both"/>
    </w:pPr>
    <w:rPr>
      <w:rFonts w:ascii="宋体" w:hAnsi="Times New Roman" w:eastAsia="宋体" w:cs="Times New Roman"/>
      <w:sz w:val="21"/>
      <w:lang w:val="en-US" w:eastAsia="zh-CN" w:bidi="ar-SA"/>
    </w:rPr>
  </w:style>
  <w:style w:type="paragraph" w:styleId="18">
    <w:name w:val="Normal Indent"/>
    <w:basedOn w:val="1"/>
    <w:qFormat/>
    <w:uiPriority w:val="0"/>
    <w:pPr>
      <w:ind w:firstLine="420"/>
    </w:pPr>
  </w:style>
  <w:style w:type="paragraph" w:styleId="19">
    <w:name w:val="Document Map"/>
    <w:basedOn w:val="1"/>
    <w:semiHidden/>
    <w:qFormat/>
    <w:uiPriority w:val="0"/>
    <w:pPr>
      <w:shd w:val="clear" w:color="auto" w:fill="000080"/>
    </w:pPr>
  </w:style>
  <w:style w:type="paragraph" w:styleId="20">
    <w:name w:val="toa heading"/>
    <w:basedOn w:val="1"/>
    <w:next w:val="1"/>
    <w:semiHidden/>
    <w:qFormat/>
    <w:uiPriority w:val="0"/>
    <w:pPr>
      <w:widowControl/>
      <w:tabs>
        <w:tab w:val="left" w:pos="720"/>
      </w:tabs>
    </w:pPr>
    <w:rPr>
      <w:b/>
      <w:kern w:val="0"/>
      <w:sz w:val="22"/>
    </w:rPr>
  </w:style>
  <w:style w:type="paragraph" w:styleId="21">
    <w:name w:val="annotation text"/>
    <w:basedOn w:val="1"/>
    <w:link w:val="129"/>
    <w:semiHidden/>
    <w:qFormat/>
    <w:uiPriority w:val="0"/>
    <w:pPr>
      <w:jc w:val="left"/>
    </w:pPr>
  </w:style>
  <w:style w:type="paragraph" w:styleId="22">
    <w:name w:val="Body Text"/>
    <w:basedOn w:val="1"/>
    <w:qFormat/>
    <w:uiPriority w:val="0"/>
    <w:pPr>
      <w:spacing w:after="120"/>
    </w:pPr>
  </w:style>
  <w:style w:type="paragraph" w:styleId="23">
    <w:name w:val="Body Text Indent"/>
    <w:basedOn w:val="1"/>
    <w:qFormat/>
    <w:uiPriority w:val="0"/>
    <w:pPr>
      <w:ind w:left="420" w:hanging="420" w:hangingChars="200"/>
    </w:pPr>
  </w:style>
  <w:style w:type="paragraph" w:styleId="24">
    <w:name w:val="HTML Address"/>
    <w:basedOn w:val="1"/>
    <w:qFormat/>
    <w:uiPriority w:val="0"/>
    <w:rPr>
      <w:i/>
      <w:iCs/>
    </w:rPr>
  </w:style>
  <w:style w:type="paragraph" w:styleId="25">
    <w:name w:val="Plain Text"/>
    <w:basedOn w:val="1"/>
    <w:qFormat/>
    <w:uiPriority w:val="0"/>
    <w:rPr>
      <w:rFonts w:ascii="宋体" w:hAnsi="Courier New"/>
      <w:szCs w:val="21"/>
    </w:rPr>
  </w:style>
  <w:style w:type="paragraph" w:styleId="26">
    <w:name w:val="toc 8"/>
    <w:basedOn w:val="11"/>
    <w:next w:val="1"/>
    <w:semiHidden/>
    <w:qFormat/>
    <w:uiPriority w:val="0"/>
  </w:style>
  <w:style w:type="paragraph" w:styleId="27">
    <w:name w:val="Date"/>
    <w:basedOn w:val="1"/>
    <w:next w:val="1"/>
    <w:qFormat/>
    <w:uiPriority w:val="0"/>
    <w:rPr>
      <w:rFonts w:ascii="黑体" w:eastAsia="黑体"/>
      <w:b/>
    </w:rPr>
  </w:style>
  <w:style w:type="paragraph" w:styleId="28">
    <w:name w:val="Balloon Text"/>
    <w:basedOn w:val="1"/>
    <w:semiHidden/>
    <w:qFormat/>
    <w:uiPriority w:val="0"/>
    <w:rPr>
      <w:sz w:val="18"/>
      <w:szCs w:val="18"/>
    </w:rPr>
  </w:style>
  <w:style w:type="paragraph" w:styleId="29">
    <w:name w:val="footer"/>
    <w:basedOn w:val="1"/>
    <w:link w:val="87"/>
    <w:qFormat/>
    <w:uiPriority w:val="99"/>
    <w:pPr>
      <w:tabs>
        <w:tab w:val="center" w:pos="4153"/>
        <w:tab w:val="right" w:pos="8306"/>
      </w:tabs>
      <w:snapToGrid w:val="0"/>
      <w:ind w:right="210" w:rightChars="100"/>
      <w:jc w:val="right"/>
    </w:pPr>
    <w:rPr>
      <w:sz w:val="18"/>
      <w:szCs w:val="18"/>
    </w:rPr>
  </w:style>
  <w:style w:type="paragraph" w:styleId="30">
    <w:name w:val="header"/>
    <w:basedOn w:val="1"/>
    <w:link w:val="97"/>
    <w:qFormat/>
    <w:uiPriority w:val="0"/>
    <w:pPr>
      <w:pBdr>
        <w:bottom w:val="single" w:color="auto" w:sz="6" w:space="1"/>
      </w:pBdr>
      <w:tabs>
        <w:tab w:val="center" w:pos="4153"/>
        <w:tab w:val="right" w:pos="8306"/>
      </w:tabs>
      <w:snapToGrid w:val="0"/>
      <w:jc w:val="center"/>
    </w:pPr>
    <w:rPr>
      <w:sz w:val="18"/>
      <w:szCs w:val="18"/>
    </w:rPr>
  </w:style>
  <w:style w:type="paragraph" w:styleId="31">
    <w:name w:val="footnote text"/>
    <w:basedOn w:val="1"/>
    <w:semiHidden/>
    <w:qFormat/>
    <w:uiPriority w:val="0"/>
    <w:pPr>
      <w:snapToGrid w:val="0"/>
      <w:jc w:val="left"/>
    </w:pPr>
    <w:rPr>
      <w:sz w:val="18"/>
      <w:szCs w:val="18"/>
    </w:rPr>
  </w:style>
  <w:style w:type="paragraph" w:styleId="32">
    <w:name w:val="Body Text Indent 3"/>
    <w:basedOn w:val="1"/>
    <w:qFormat/>
    <w:uiPriority w:val="0"/>
    <w:pPr>
      <w:spacing w:after="120"/>
      <w:ind w:left="420" w:leftChars="200"/>
    </w:pPr>
    <w:rPr>
      <w:sz w:val="16"/>
      <w:szCs w:val="16"/>
    </w:rPr>
  </w:style>
  <w:style w:type="paragraph" w:styleId="33">
    <w:name w:val="toc 9"/>
    <w:basedOn w:val="26"/>
    <w:next w:val="1"/>
    <w:semiHidden/>
    <w:qFormat/>
    <w:uiPriority w:val="0"/>
  </w:style>
  <w:style w:type="paragraph" w:styleId="34">
    <w:name w:val="HTML Preformatted"/>
    <w:basedOn w:val="1"/>
    <w:qFormat/>
    <w:uiPriority w:val="0"/>
    <w:rPr>
      <w:rFonts w:ascii="Courier New" w:hAnsi="Courier New" w:cs="Courier New"/>
      <w:sz w:val="20"/>
    </w:rPr>
  </w:style>
  <w:style w:type="paragraph" w:styleId="35">
    <w:name w:val="Normal (Web)"/>
    <w:basedOn w:val="1"/>
    <w:qFormat/>
    <w:uiPriority w:val="0"/>
    <w:pPr>
      <w:widowControl/>
      <w:spacing w:before="100" w:beforeAutospacing="1" w:after="100" w:afterAutospacing="1"/>
      <w:jc w:val="left"/>
    </w:pPr>
    <w:rPr>
      <w:rFonts w:ascii="宋体" w:hAnsi="宋体" w:cs="宋体"/>
      <w:kern w:val="0"/>
      <w:sz w:val="24"/>
      <w:szCs w:val="24"/>
    </w:rPr>
  </w:style>
  <w:style w:type="paragraph" w:styleId="36">
    <w:name w:val="Title"/>
    <w:basedOn w:val="1"/>
    <w:link w:val="73"/>
    <w:qFormat/>
    <w:uiPriority w:val="0"/>
    <w:pPr>
      <w:spacing w:before="240" w:after="60"/>
      <w:jc w:val="center"/>
      <w:outlineLvl w:val="0"/>
    </w:pPr>
    <w:rPr>
      <w:rFonts w:ascii="Arial" w:hAnsi="Arial" w:cs="Arial"/>
      <w:b/>
      <w:bCs/>
      <w:sz w:val="32"/>
      <w:szCs w:val="32"/>
    </w:rPr>
  </w:style>
  <w:style w:type="paragraph" w:styleId="37">
    <w:name w:val="annotation subject"/>
    <w:basedOn w:val="21"/>
    <w:next w:val="21"/>
    <w:semiHidden/>
    <w:qFormat/>
    <w:uiPriority w:val="0"/>
    <w:rPr>
      <w:b/>
      <w:bCs/>
    </w:rPr>
  </w:style>
  <w:style w:type="table" w:styleId="39">
    <w:name w:val="Table Grid"/>
    <w:basedOn w:val="38"/>
    <w:qFormat/>
    <w:uiPriority w:val="59"/>
    <w:rPr>
      <w:rFonts w:ascii="Calibri" w:hAnsi="Calibri"/>
      <w:kern w:val="2"/>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1">
    <w:name w:val="page number"/>
    <w:qFormat/>
    <w:uiPriority w:val="0"/>
    <w:rPr>
      <w:rFonts w:ascii="Times New Roman" w:hAnsi="Times New Roman" w:eastAsia="宋体"/>
      <w:sz w:val="18"/>
    </w:rPr>
  </w:style>
  <w:style w:type="character" w:styleId="42">
    <w:name w:val="FollowedHyperlink"/>
    <w:qFormat/>
    <w:uiPriority w:val="0"/>
    <w:rPr>
      <w:color w:val="800080"/>
      <w:u w:val="single"/>
    </w:rPr>
  </w:style>
  <w:style w:type="character" w:styleId="43">
    <w:name w:val="HTML Definition"/>
    <w:qFormat/>
    <w:uiPriority w:val="0"/>
    <w:rPr>
      <w:i/>
      <w:iCs/>
    </w:rPr>
  </w:style>
  <w:style w:type="character" w:styleId="44">
    <w:name w:val="HTML Typewriter"/>
    <w:qFormat/>
    <w:uiPriority w:val="0"/>
    <w:rPr>
      <w:rFonts w:ascii="Courier New" w:hAnsi="Courier New"/>
      <w:sz w:val="20"/>
      <w:szCs w:val="20"/>
    </w:rPr>
  </w:style>
  <w:style w:type="character" w:styleId="45">
    <w:name w:val="HTML Acronym"/>
    <w:basedOn w:val="40"/>
    <w:qFormat/>
    <w:uiPriority w:val="0"/>
  </w:style>
  <w:style w:type="character" w:styleId="46">
    <w:name w:val="HTML Variable"/>
    <w:qFormat/>
    <w:uiPriority w:val="0"/>
    <w:rPr>
      <w:i/>
      <w:iCs/>
    </w:rPr>
  </w:style>
  <w:style w:type="character" w:styleId="47">
    <w:name w:val="Hyperlink"/>
    <w:qFormat/>
    <w:uiPriority w:val="0"/>
    <w:rPr>
      <w:rFonts w:ascii="Times New Roman" w:hAnsi="Times New Roman" w:eastAsia="宋体"/>
      <w:color w:val="auto"/>
      <w:spacing w:val="0"/>
      <w:w w:val="100"/>
      <w:position w:val="0"/>
      <w:sz w:val="21"/>
      <w:u w:val="none"/>
      <w:vertAlign w:val="baseline"/>
    </w:rPr>
  </w:style>
  <w:style w:type="character" w:styleId="48">
    <w:name w:val="HTML Code"/>
    <w:qFormat/>
    <w:uiPriority w:val="0"/>
    <w:rPr>
      <w:rFonts w:ascii="Courier New" w:hAnsi="Courier New"/>
      <w:sz w:val="20"/>
      <w:szCs w:val="20"/>
    </w:rPr>
  </w:style>
  <w:style w:type="character" w:styleId="49">
    <w:name w:val="annotation reference"/>
    <w:semiHidden/>
    <w:qFormat/>
    <w:uiPriority w:val="0"/>
    <w:rPr>
      <w:sz w:val="21"/>
      <w:szCs w:val="21"/>
    </w:rPr>
  </w:style>
  <w:style w:type="character" w:styleId="50">
    <w:name w:val="HTML Cite"/>
    <w:qFormat/>
    <w:uiPriority w:val="0"/>
    <w:rPr>
      <w:i/>
      <w:iCs/>
    </w:rPr>
  </w:style>
  <w:style w:type="character" w:styleId="51">
    <w:name w:val="footnote reference"/>
    <w:semiHidden/>
    <w:qFormat/>
    <w:uiPriority w:val="0"/>
    <w:rPr>
      <w:vertAlign w:val="superscript"/>
    </w:rPr>
  </w:style>
  <w:style w:type="character" w:styleId="52">
    <w:name w:val="HTML Keyboard"/>
    <w:qFormat/>
    <w:uiPriority w:val="0"/>
    <w:rPr>
      <w:rFonts w:ascii="Courier New" w:hAnsi="Courier New"/>
      <w:sz w:val="20"/>
      <w:szCs w:val="20"/>
    </w:rPr>
  </w:style>
  <w:style w:type="character" w:styleId="53">
    <w:name w:val="HTML Sample"/>
    <w:qFormat/>
    <w:uiPriority w:val="0"/>
    <w:rPr>
      <w:rFonts w:ascii="Courier New" w:hAnsi="Courier New"/>
    </w:rPr>
  </w:style>
  <w:style w:type="paragraph" w:customStyle="1" w:styleId="54">
    <w:name w:val="列项——"/>
    <w:qFormat/>
    <w:uiPriority w:val="0"/>
    <w:pPr>
      <w:widowControl w:val="0"/>
      <w:numPr>
        <w:ilvl w:val="0"/>
        <w:numId w:val="1"/>
      </w:numPr>
      <w:tabs>
        <w:tab w:val="left" w:pos="854"/>
        <w:tab w:val="clear" w:pos="1140"/>
      </w:tabs>
      <w:ind w:left="200" w:leftChars="200" w:hanging="200" w:hangingChars="200"/>
      <w:jc w:val="both"/>
    </w:pPr>
    <w:rPr>
      <w:rFonts w:ascii="宋体" w:hAnsi="Times New Roman" w:eastAsia="宋体" w:cs="Times New Roman"/>
      <w:sz w:val="21"/>
      <w:lang w:val="en-US" w:eastAsia="zh-CN" w:bidi="ar-SA"/>
    </w:rPr>
  </w:style>
  <w:style w:type="paragraph" w:customStyle="1" w:styleId="55">
    <w:name w:val="标准书脚_偶数页"/>
    <w:qFormat/>
    <w:uiPriority w:val="0"/>
    <w:pPr>
      <w:spacing w:before="120"/>
    </w:pPr>
    <w:rPr>
      <w:rFonts w:ascii="Times New Roman" w:hAnsi="Times New Roman" w:eastAsia="宋体" w:cs="Times New Roman"/>
      <w:sz w:val="18"/>
      <w:lang w:val="en-US" w:eastAsia="zh-CN" w:bidi="ar-SA"/>
    </w:rPr>
  </w:style>
  <w:style w:type="paragraph" w:customStyle="1" w:styleId="56">
    <w:name w:val="封面标准英文名称"/>
    <w:qFormat/>
    <w:uiPriority w:val="0"/>
    <w:pPr>
      <w:widowControl w:val="0"/>
      <w:spacing w:before="370" w:line="400" w:lineRule="exact"/>
      <w:jc w:val="center"/>
    </w:pPr>
    <w:rPr>
      <w:rFonts w:ascii="Times New Roman" w:hAnsi="Times New Roman" w:eastAsia="宋体" w:cs="Times New Roman"/>
      <w:sz w:val="28"/>
      <w:lang w:val="en-US" w:eastAsia="zh-CN" w:bidi="ar-SA"/>
    </w:rPr>
  </w:style>
  <w:style w:type="paragraph" w:customStyle="1" w:styleId="57">
    <w:name w:val="前言、引言标题"/>
    <w:next w:val="1"/>
    <w:qFormat/>
    <w:uiPriority w:val="0"/>
    <w:pPr>
      <w:numPr>
        <w:ilvl w:val="0"/>
        <w:numId w:val="2"/>
      </w:numPr>
      <w:shd w:val="clear" w:color="FFFFFF" w:fill="FFFFFF"/>
      <w:spacing w:before="640" w:after="560"/>
      <w:jc w:val="center"/>
      <w:outlineLvl w:val="0"/>
    </w:pPr>
    <w:rPr>
      <w:rFonts w:ascii="黑体" w:hAnsi="Times New Roman" w:eastAsia="黑体" w:cs="Times New Roman"/>
      <w:sz w:val="32"/>
      <w:lang w:val="en-US" w:eastAsia="zh-CN" w:bidi="ar-SA"/>
    </w:rPr>
  </w:style>
  <w:style w:type="paragraph" w:customStyle="1" w:styleId="58">
    <w:name w:val="封面一致性程度标识"/>
    <w:qFormat/>
    <w:uiPriority w:val="0"/>
    <w:pPr>
      <w:spacing w:before="440" w:line="400" w:lineRule="exact"/>
      <w:jc w:val="center"/>
    </w:pPr>
    <w:rPr>
      <w:rFonts w:ascii="宋体" w:hAnsi="Times New Roman" w:eastAsia="宋体" w:cs="Times New Roman"/>
      <w:sz w:val="28"/>
      <w:lang w:val="en-US" w:eastAsia="zh-CN" w:bidi="ar-SA"/>
    </w:rPr>
  </w:style>
  <w:style w:type="paragraph" w:customStyle="1" w:styleId="59">
    <w:name w:val="列出段落2"/>
    <w:basedOn w:val="1"/>
    <w:qFormat/>
    <w:uiPriority w:val="34"/>
    <w:pPr>
      <w:ind w:firstLine="420" w:firstLineChars="200"/>
    </w:pPr>
  </w:style>
  <w:style w:type="paragraph" w:customStyle="1" w:styleId="60">
    <w:name w:val="条文脚注"/>
    <w:basedOn w:val="31"/>
    <w:qFormat/>
    <w:uiPriority w:val="0"/>
    <w:pPr>
      <w:ind w:left="780" w:leftChars="200" w:hanging="360" w:hangingChars="200"/>
      <w:jc w:val="both"/>
    </w:pPr>
    <w:rPr>
      <w:rFonts w:ascii="宋体"/>
    </w:rPr>
  </w:style>
  <w:style w:type="paragraph" w:customStyle="1" w:styleId="61">
    <w:name w:val="一级无标题条"/>
    <w:basedOn w:val="1"/>
    <w:qFormat/>
    <w:uiPriority w:val="0"/>
  </w:style>
  <w:style w:type="paragraph" w:customStyle="1" w:styleId="62">
    <w:name w:val="附录一级条标题"/>
    <w:basedOn w:val="63"/>
    <w:next w:val="64"/>
    <w:qFormat/>
    <w:uiPriority w:val="0"/>
    <w:pPr>
      <w:numPr>
        <w:ilvl w:val="2"/>
      </w:numPr>
      <w:autoSpaceDN w:val="0"/>
      <w:spacing w:beforeLines="0" w:afterLines="0"/>
      <w:outlineLvl w:val="2"/>
    </w:pPr>
  </w:style>
  <w:style w:type="paragraph" w:customStyle="1" w:styleId="63">
    <w:name w:val="附录章标题"/>
    <w:next w:val="64"/>
    <w:qFormat/>
    <w:uiPriority w:val="0"/>
    <w:pPr>
      <w:numPr>
        <w:ilvl w:val="1"/>
        <w:numId w:val="3"/>
      </w:numPr>
      <w:wordWrap w:val="0"/>
      <w:overflowPunct w:val="0"/>
      <w:autoSpaceDE w:val="0"/>
      <w:spacing w:beforeLines="50" w:afterLines="50"/>
      <w:jc w:val="both"/>
      <w:textAlignment w:val="baseline"/>
      <w:outlineLvl w:val="1"/>
    </w:pPr>
    <w:rPr>
      <w:rFonts w:ascii="黑体" w:hAnsi="Times New Roman" w:eastAsia="黑体" w:cs="Times New Roman"/>
      <w:kern w:val="21"/>
      <w:sz w:val="21"/>
      <w:lang w:val="en-US" w:eastAsia="zh-CN" w:bidi="ar-SA"/>
    </w:rPr>
  </w:style>
  <w:style w:type="paragraph" w:customStyle="1" w:styleId="64">
    <w:name w:val="段"/>
    <w:link w:val="83"/>
    <w:qFormat/>
    <w:uiPriority w:val="0"/>
    <w:pPr>
      <w:ind w:firstLine="200" w:firstLineChars="200"/>
      <w:jc w:val="both"/>
    </w:pPr>
    <w:rPr>
      <w:rFonts w:ascii="宋体" w:hAnsi="Times New Roman" w:eastAsia="宋体" w:cs="Times New Roman"/>
      <w:sz w:val="21"/>
      <w:lang w:val="en-US" w:eastAsia="zh-CN" w:bidi="ar-SA"/>
    </w:rPr>
  </w:style>
  <w:style w:type="paragraph" w:customStyle="1" w:styleId="65">
    <w:name w:val="四级无标题条"/>
    <w:basedOn w:val="1"/>
    <w:qFormat/>
    <w:uiPriority w:val="0"/>
    <w:pPr>
      <w:numPr>
        <w:ilvl w:val="5"/>
        <w:numId w:val="4"/>
      </w:numPr>
    </w:pPr>
  </w:style>
  <w:style w:type="paragraph" w:customStyle="1" w:styleId="66">
    <w:name w:val="附录三级条标题"/>
    <w:basedOn w:val="67"/>
    <w:next w:val="64"/>
    <w:qFormat/>
    <w:uiPriority w:val="0"/>
    <w:pPr>
      <w:numPr>
        <w:ilvl w:val="4"/>
      </w:numPr>
      <w:outlineLvl w:val="4"/>
    </w:pPr>
  </w:style>
  <w:style w:type="paragraph" w:customStyle="1" w:styleId="67">
    <w:name w:val="附录二级条标题"/>
    <w:basedOn w:val="62"/>
    <w:next w:val="64"/>
    <w:qFormat/>
    <w:uiPriority w:val="0"/>
    <w:pPr>
      <w:numPr>
        <w:ilvl w:val="3"/>
      </w:numPr>
      <w:outlineLvl w:val="3"/>
    </w:pPr>
  </w:style>
  <w:style w:type="character" w:customStyle="1" w:styleId="68">
    <w:name w:val="goog_qs-tidbit-1"/>
    <w:basedOn w:val="40"/>
    <w:qFormat/>
    <w:uiPriority w:val="0"/>
  </w:style>
  <w:style w:type="paragraph" w:customStyle="1" w:styleId="69">
    <w:name w:val="标准称谓"/>
    <w:next w:val="1"/>
    <w:qFormat/>
    <w:uiPriority w:val="0"/>
    <w:pPr>
      <w:widowControl w:val="0"/>
      <w:kinsoku w:val="0"/>
      <w:overflowPunct w:val="0"/>
      <w:autoSpaceDE w:val="0"/>
      <w:autoSpaceDN w:val="0"/>
      <w:spacing w:line="0" w:lineRule="atLeast"/>
      <w:jc w:val="distribute"/>
    </w:pPr>
    <w:rPr>
      <w:rFonts w:ascii="宋体" w:hAnsi="Times New Roman" w:eastAsia="宋体" w:cs="Times New Roman"/>
      <w:b/>
      <w:bCs/>
      <w:spacing w:val="20"/>
      <w:w w:val="148"/>
      <w:sz w:val="52"/>
      <w:lang w:val="en-US" w:eastAsia="zh-CN" w:bidi="ar-SA"/>
    </w:rPr>
  </w:style>
  <w:style w:type="paragraph" w:customStyle="1" w:styleId="70">
    <w:name w:val="无标题条"/>
    <w:next w:val="64"/>
    <w:qFormat/>
    <w:uiPriority w:val="0"/>
    <w:pPr>
      <w:jc w:val="both"/>
    </w:pPr>
    <w:rPr>
      <w:rFonts w:ascii="Times New Roman" w:hAnsi="Times New Roman" w:eastAsia="宋体" w:cs="Times New Roman"/>
      <w:sz w:val="21"/>
      <w:lang w:val="en-US" w:eastAsia="zh-CN" w:bidi="ar-SA"/>
    </w:rPr>
  </w:style>
  <w:style w:type="character" w:customStyle="1" w:styleId="71">
    <w:name w:val="个人撰写风格"/>
    <w:qFormat/>
    <w:uiPriority w:val="0"/>
    <w:rPr>
      <w:rFonts w:ascii="Arial" w:hAnsi="Arial" w:eastAsia="宋体" w:cs="Arial"/>
      <w:color w:val="auto"/>
      <w:sz w:val="20"/>
    </w:rPr>
  </w:style>
  <w:style w:type="paragraph" w:customStyle="1" w:styleId="72">
    <w:name w:val="章标题"/>
    <w:next w:val="64"/>
    <w:qFormat/>
    <w:uiPriority w:val="0"/>
    <w:pPr>
      <w:spacing w:beforeLines="50" w:afterLines="50"/>
      <w:jc w:val="both"/>
      <w:outlineLvl w:val="1"/>
    </w:pPr>
    <w:rPr>
      <w:rFonts w:ascii="黑体" w:hAnsi="Times New Roman" w:eastAsia="黑体" w:cs="Times New Roman"/>
      <w:sz w:val="21"/>
      <w:lang w:val="en-US" w:eastAsia="zh-CN" w:bidi="ar-SA"/>
    </w:rPr>
  </w:style>
  <w:style w:type="character" w:customStyle="1" w:styleId="73">
    <w:name w:val="标题 Char"/>
    <w:link w:val="36"/>
    <w:qFormat/>
    <w:locked/>
    <w:uiPriority w:val="0"/>
    <w:rPr>
      <w:rFonts w:ascii="Arial" w:hAnsi="Arial" w:eastAsia="宋体" w:cs="Arial"/>
      <w:b/>
      <w:bCs/>
      <w:kern w:val="2"/>
      <w:sz w:val="32"/>
      <w:szCs w:val="32"/>
      <w:lang w:val="en-US" w:eastAsia="zh-CN" w:bidi="ar-SA"/>
    </w:rPr>
  </w:style>
  <w:style w:type="paragraph" w:customStyle="1" w:styleId="74">
    <w:name w:val="三级条标题"/>
    <w:basedOn w:val="75"/>
    <w:next w:val="64"/>
    <w:qFormat/>
    <w:uiPriority w:val="0"/>
    <w:pPr>
      <w:numPr>
        <w:ilvl w:val="4"/>
        <w:numId w:val="2"/>
      </w:numPr>
      <w:outlineLvl w:val="4"/>
    </w:pPr>
  </w:style>
  <w:style w:type="paragraph" w:customStyle="1" w:styleId="75">
    <w:name w:val="二级条标题"/>
    <w:basedOn w:val="76"/>
    <w:next w:val="64"/>
    <w:qFormat/>
    <w:uiPriority w:val="0"/>
    <w:pPr>
      <w:outlineLvl w:val="3"/>
    </w:pPr>
  </w:style>
  <w:style w:type="paragraph" w:customStyle="1" w:styleId="76">
    <w:name w:val="一级条标题"/>
    <w:basedOn w:val="72"/>
    <w:next w:val="64"/>
    <w:qFormat/>
    <w:uiPriority w:val="0"/>
    <w:pPr>
      <w:spacing w:beforeLines="0" w:afterLines="0"/>
      <w:outlineLvl w:val="2"/>
    </w:pPr>
  </w:style>
  <w:style w:type="paragraph" w:customStyle="1" w:styleId="77">
    <w:name w:val="附录四级条标题"/>
    <w:basedOn w:val="66"/>
    <w:next w:val="64"/>
    <w:qFormat/>
    <w:uiPriority w:val="0"/>
    <w:pPr>
      <w:numPr>
        <w:ilvl w:val="5"/>
      </w:numPr>
      <w:outlineLvl w:val="5"/>
    </w:pPr>
  </w:style>
  <w:style w:type="paragraph" w:customStyle="1" w:styleId="78">
    <w:name w:val="标准书脚_奇数页"/>
    <w:qFormat/>
    <w:uiPriority w:val="0"/>
    <w:pPr>
      <w:spacing w:before="120"/>
      <w:jc w:val="right"/>
    </w:pPr>
    <w:rPr>
      <w:rFonts w:ascii="Times New Roman" w:hAnsi="Times New Roman" w:eastAsia="宋体" w:cs="Times New Roman"/>
      <w:sz w:val="18"/>
      <w:lang w:val="en-US" w:eastAsia="zh-CN" w:bidi="ar-SA"/>
    </w:rPr>
  </w:style>
  <w:style w:type="paragraph" w:customStyle="1" w:styleId="79">
    <w:name w:val="封面标准文稿类别"/>
    <w:qFormat/>
    <w:uiPriority w:val="0"/>
    <w:pPr>
      <w:spacing w:before="440" w:line="400" w:lineRule="exact"/>
      <w:jc w:val="center"/>
    </w:pPr>
    <w:rPr>
      <w:rFonts w:ascii="宋体" w:hAnsi="Times New Roman" w:eastAsia="宋体" w:cs="Times New Roman"/>
      <w:sz w:val="24"/>
      <w:lang w:val="en-US" w:eastAsia="zh-CN" w:bidi="ar-SA"/>
    </w:rPr>
  </w:style>
  <w:style w:type="paragraph" w:customStyle="1" w:styleId="80">
    <w:name w:val="附录标识"/>
    <w:basedOn w:val="57"/>
    <w:qFormat/>
    <w:uiPriority w:val="0"/>
    <w:pPr>
      <w:numPr>
        <w:ilvl w:val="0"/>
        <w:numId w:val="3"/>
      </w:numPr>
      <w:tabs>
        <w:tab w:val="left" w:pos="6405"/>
      </w:tabs>
      <w:spacing w:after="200"/>
    </w:pPr>
    <w:rPr>
      <w:sz w:val="21"/>
    </w:rPr>
  </w:style>
  <w:style w:type="paragraph" w:customStyle="1" w:styleId="81">
    <w:name w:val="_Style 123"/>
    <w:next w:val="1"/>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82">
    <w:name w:val="二级无标题条"/>
    <w:basedOn w:val="1"/>
    <w:qFormat/>
    <w:uiPriority w:val="0"/>
    <w:pPr>
      <w:numPr>
        <w:ilvl w:val="3"/>
        <w:numId w:val="4"/>
      </w:numPr>
    </w:pPr>
  </w:style>
  <w:style w:type="character" w:customStyle="1" w:styleId="83">
    <w:name w:val="段 Char"/>
    <w:link w:val="64"/>
    <w:qFormat/>
    <w:uiPriority w:val="0"/>
    <w:rPr>
      <w:rFonts w:ascii="宋体"/>
      <w:sz w:val="21"/>
      <w:lang w:val="en-US" w:eastAsia="zh-CN" w:bidi="ar-SA"/>
    </w:rPr>
  </w:style>
  <w:style w:type="paragraph" w:customStyle="1" w:styleId="84">
    <w:name w:val="三级无标题条"/>
    <w:basedOn w:val="1"/>
    <w:qFormat/>
    <w:uiPriority w:val="0"/>
    <w:pPr>
      <w:numPr>
        <w:ilvl w:val="4"/>
        <w:numId w:val="4"/>
      </w:numPr>
    </w:pPr>
  </w:style>
  <w:style w:type="paragraph" w:customStyle="1" w:styleId="85">
    <w:name w:val="其他标准称谓"/>
    <w:qFormat/>
    <w:uiPriority w:val="0"/>
    <w:pPr>
      <w:spacing w:line="0" w:lineRule="atLeast"/>
      <w:jc w:val="distribute"/>
    </w:pPr>
    <w:rPr>
      <w:rFonts w:ascii="黑体" w:hAnsi="宋体" w:eastAsia="黑体" w:cs="Times New Roman"/>
      <w:sz w:val="52"/>
      <w:lang w:val="en-US" w:eastAsia="zh-CN" w:bidi="ar-SA"/>
    </w:rPr>
  </w:style>
  <w:style w:type="paragraph" w:customStyle="1" w:styleId="86">
    <w:name w:val="发布部门"/>
    <w:next w:val="64"/>
    <w:qFormat/>
    <w:uiPriority w:val="0"/>
    <w:pPr>
      <w:jc w:val="center"/>
    </w:pPr>
    <w:rPr>
      <w:rFonts w:ascii="宋体" w:hAnsi="Times New Roman" w:eastAsia="宋体" w:cs="Times New Roman"/>
      <w:b/>
      <w:spacing w:val="20"/>
      <w:w w:val="135"/>
      <w:sz w:val="36"/>
      <w:lang w:val="en-US" w:eastAsia="zh-CN" w:bidi="ar-SA"/>
    </w:rPr>
  </w:style>
  <w:style w:type="character" w:customStyle="1" w:styleId="87">
    <w:name w:val="页脚 Char"/>
    <w:link w:val="29"/>
    <w:qFormat/>
    <w:uiPriority w:val="99"/>
    <w:rPr>
      <w:kern w:val="2"/>
      <w:sz w:val="18"/>
      <w:szCs w:val="18"/>
    </w:rPr>
  </w:style>
  <w:style w:type="character" w:customStyle="1" w:styleId="88">
    <w:name w:val="goog_qs-tidbit goog_qs-tidbit-1"/>
    <w:basedOn w:val="40"/>
    <w:qFormat/>
    <w:uiPriority w:val="0"/>
  </w:style>
  <w:style w:type="paragraph" w:customStyle="1" w:styleId="89">
    <w:name w:val="附录五级条标题"/>
    <w:basedOn w:val="77"/>
    <w:next w:val="64"/>
    <w:qFormat/>
    <w:uiPriority w:val="0"/>
    <w:pPr>
      <w:numPr>
        <w:ilvl w:val="6"/>
      </w:numPr>
      <w:outlineLvl w:val="6"/>
    </w:pPr>
  </w:style>
  <w:style w:type="paragraph" w:customStyle="1" w:styleId="90">
    <w:name w:val="Char"/>
    <w:basedOn w:val="1"/>
    <w:qFormat/>
    <w:uiPriority w:val="0"/>
    <w:pPr>
      <w:widowControl/>
      <w:spacing w:after="160" w:line="240" w:lineRule="exact"/>
      <w:jc w:val="left"/>
    </w:pPr>
    <w:rPr>
      <w:rFonts w:ascii="Verdana" w:hAnsi="Verdana" w:eastAsia="仿宋_GB2312"/>
      <w:kern w:val="0"/>
      <w:sz w:val="24"/>
      <w:lang w:eastAsia="en-US"/>
    </w:rPr>
  </w:style>
  <w:style w:type="paragraph" w:customStyle="1" w:styleId="91">
    <w:name w:val="图表脚注"/>
    <w:next w:val="64"/>
    <w:qFormat/>
    <w:uiPriority w:val="0"/>
    <w:pPr>
      <w:ind w:left="300" w:leftChars="200" w:hanging="100" w:hangingChars="100"/>
      <w:jc w:val="both"/>
    </w:pPr>
    <w:rPr>
      <w:rFonts w:ascii="宋体" w:hAnsi="Times New Roman" w:eastAsia="宋体" w:cs="Times New Roman"/>
      <w:sz w:val="18"/>
      <w:lang w:val="en-US" w:eastAsia="zh-CN" w:bidi="ar-SA"/>
    </w:rPr>
  </w:style>
  <w:style w:type="paragraph" w:customStyle="1" w:styleId="92">
    <w:name w:val="封面标准代替信息"/>
    <w:basedOn w:val="93"/>
    <w:qFormat/>
    <w:uiPriority w:val="0"/>
    <w:pPr>
      <w:spacing w:before="57"/>
    </w:pPr>
    <w:rPr>
      <w:rFonts w:ascii="宋体"/>
      <w:sz w:val="21"/>
    </w:rPr>
  </w:style>
  <w:style w:type="paragraph" w:customStyle="1" w:styleId="93">
    <w:name w:val="封面标准号2"/>
    <w:basedOn w:val="94"/>
    <w:qFormat/>
    <w:uiPriority w:val="0"/>
    <w:pPr>
      <w:adjustRightInd w:val="0"/>
      <w:spacing w:before="357" w:line="280" w:lineRule="exact"/>
    </w:pPr>
  </w:style>
  <w:style w:type="paragraph" w:customStyle="1" w:styleId="94">
    <w:name w:val="封面标准号1"/>
    <w:qFormat/>
    <w:uiPriority w:val="0"/>
    <w:pPr>
      <w:widowControl w:val="0"/>
      <w:kinsoku w:val="0"/>
      <w:overflowPunct w:val="0"/>
      <w:autoSpaceDE w:val="0"/>
      <w:autoSpaceDN w:val="0"/>
      <w:spacing w:before="308"/>
      <w:jc w:val="right"/>
      <w:textAlignment w:val="center"/>
    </w:pPr>
    <w:rPr>
      <w:rFonts w:ascii="Times New Roman" w:hAnsi="Times New Roman" w:eastAsia="宋体" w:cs="Times New Roman"/>
      <w:sz w:val="28"/>
      <w:lang w:val="en-US" w:eastAsia="zh-CN" w:bidi="ar-SA"/>
    </w:rPr>
  </w:style>
  <w:style w:type="paragraph" w:customStyle="1" w:styleId="95">
    <w:name w:val="正文表标题"/>
    <w:next w:val="64"/>
    <w:qFormat/>
    <w:uiPriority w:val="0"/>
    <w:pPr>
      <w:numPr>
        <w:ilvl w:val="0"/>
        <w:numId w:val="5"/>
      </w:numPr>
      <w:jc w:val="center"/>
    </w:pPr>
    <w:rPr>
      <w:rFonts w:ascii="黑体" w:hAnsi="Times New Roman" w:eastAsia="黑体" w:cs="Times New Roman"/>
      <w:sz w:val="21"/>
      <w:lang w:val="en-US" w:eastAsia="zh-CN" w:bidi="ar-SA"/>
    </w:rPr>
  </w:style>
  <w:style w:type="character" w:customStyle="1" w:styleId="96">
    <w:name w:val="发布"/>
    <w:qFormat/>
    <w:uiPriority w:val="0"/>
    <w:rPr>
      <w:rFonts w:ascii="黑体" w:eastAsia="黑体"/>
      <w:spacing w:val="22"/>
      <w:w w:val="100"/>
      <w:position w:val="3"/>
      <w:sz w:val="28"/>
    </w:rPr>
  </w:style>
  <w:style w:type="character" w:customStyle="1" w:styleId="97">
    <w:name w:val="页眉 Char"/>
    <w:link w:val="30"/>
    <w:qFormat/>
    <w:locked/>
    <w:uiPriority w:val="0"/>
    <w:rPr>
      <w:rFonts w:eastAsia="宋体"/>
      <w:kern w:val="2"/>
      <w:sz w:val="18"/>
      <w:szCs w:val="18"/>
      <w:lang w:val="en-US" w:eastAsia="zh-CN" w:bidi="ar-SA"/>
    </w:rPr>
  </w:style>
  <w:style w:type="paragraph" w:customStyle="1" w:styleId="98">
    <w:name w:val="列出段落1"/>
    <w:basedOn w:val="1"/>
    <w:qFormat/>
    <w:uiPriority w:val="0"/>
    <w:pPr>
      <w:ind w:firstLine="420" w:firstLineChars="200"/>
    </w:pPr>
    <w:rPr>
      <w:rFonts w:ascii="Calibri" w:hAnsi="Calibri"/>
      <w:szCs w:val="22"/>
    </w:rPr>
  </w:style>
  <w:style w:type="paragraph" w:customStyle="1" w:styleId="99">
    <w:name w:val="注："/>
    <w:next w:val="64"/>
    <w:qFormat/>
    <w:uiPriority w:val="0"/>
    <w:pPr>
      <w:widowControl w:val="0"/>
      <w:numPr>
        <w:ilvl w:val="0"/>
        <w:numId w:val="6"/>
      </w:numPr>
      <w:tabs>
        <w:tab w:val="clear" w:pos="1140"/>
      </w:tabs>
      <w:autoSpaceDE w:val="0"/>
      <w:autoSpaceDN w:val="0"/>
      <w:jc w:val="both"/>
    </w:pPr>
    <w:rPr>
      <w:rFonts w:ascii="宋体" w:hAnsi="Times New Roman" w:eastAsia="宋体" w:cs="Times New Roman"/>
      <w:sz w:val="18"/>
      <w:lang w:val="en-US" w:eastAsia="zh-CN" w:bidi="ar-SA"/>
    </w:rPr>
  </w:style>
  <w:style w:type="paragraph" w:customStyle="1" w:styleId="100">
    <w:name w:val="文献分类号"/>
    <w:qFormat/>
    <w:uiPriority w:val="0"/>
    <w:pPr>
      <w:widowControl w:val="0"/>
      <w:textAlignment w:val="center"/>
    </w:pPr>
    <w:rPr>
      <w:rFonts w:ascii="Times New Roman" w:hAnsi="Times New Roman" w:eastAsia="黑体" w:cs="Times New Roman"/>
      <w:sz w:val="21"/>
      <w:lang w:val="en-US" w:eastAsia="zh-CN" w:bidi="ar-SA"/>
    </w:rPr>
  </w:style>
  <w:style w:type="character" w:customStyle="1" w:styleId="101">
    <w:name w:val="个人答复风格"/>
    <w:qFormat/>
    <w:uiPriority w:val="0"/>
    <w:rPr>
      <w:rFonts w:ascii="Arial" w:hAnsi="Arial" w:eastAsia="宋体" w:cs="Arial"/>
      <w:color w:val="auto"/>
      <w:sz w:val="20"/>
    </w:rPr>
  </w:style>
  <w:style w:type="paragraph" w:customStyle="1" w:styleId="102">
    <w:name w:val="注×："/>
    <w:qFormat/>
    <w:uiPriority w:val="0"/>
    <w:pPr>
      <w:widowControl w:val="0"/>
      <w:numPr>
        <w:ilvl w:val="0"/>
        <w:numId w:val="7"/>
      </w:numPr>
      <w:tabs>
        <w:tab w:val="left" w:pos="630"/>
        <w:tab w:val="clear" w:pos="900"/>
      </w:tabs>
      <w:autoSpaceDE w:val="0"/>
      <w:autoSpaceDN w:val="0"/>
      <w:jc w:val="both"/>
    </w:pPr>
    <w:rPr>
      <w:rFonts w:ascii="宋体" w:hAnsi="Times New Roman" w:eastAsia="宋体" w:cs="Times New Roman"/>
      <w:sz w:val="18"/>
      <w:lang w:val="en-US" w:eastAsia="zh-CN" w:bidi="ar-SA"/>
    </w:rPr>
  </w:style>
  <w:style w:type="paragraph" w:customStyle="1" w:styleId="103">
    <w:name w:val="标准书眉_偶数页"/>
    <w:basedOn w:val="104"/>
    <w:next w:val="1"/>
    <w:qFormat/>
    <w:uiPriority w:val="0"/>
    <w:pPr>
      <w:tabs>
        <w:tab w:val="center" w:pos="4154"/>
        <w:tab w:val="right" w:pos="8306"/>
      </w:tabs>
      <w:jc w:val="left"/>
    </w:pPr>
  </w:style>
  <w:style w:type="paragraph" w:customStyle="1" w:styleId="104">
    <w:name w:val="标准书眉_奇数页"/>
    <w:next w:val="1"/>
    <w:qFormat/>
    <w:uiPriority w:val="0"/>
    <w:pPr>
      <w:tabs>
        <w:tab w:val="center" w:pos="4154"/>
        <w:tab w:val="right" w:pos="8306"/>
      </w:tabs>
      <w:spacing w:after="120"/>
      <w:jc w:val="right"/>
    </w:pPr>
    <w:rPr>
      <w:rFonts w:ascii="Times New Roman" w:hAnsi="Times New Roman" w:eastAsia="宋体" w:cs="Times New Roman"/>
      <w:sz w:val="21"/>
      <w:lang w:val="en-US" w:eastAsia="zh-CN" w:bidi="ar-SA"/>
    </w:rPr>
  </w:style>
  <w:style w:type="paragraph" w:customStyle="1" w:styleId="105">
    <w:name w:val="标准书眉一"/>
    <w:qFormat/>
    <w:uiPriority w:val="0"/>
    <w:pPr>
      <w:jc w:val="both"/>
    </w:pPr>
    <w:rPr>
      <w:rFonts w:ascii="Times New Roman" w:hAnsi="Times New Roman" w:eastAsia="宋体" w:cs="Times New Roman"/>
      <w:lang w:val="en-US" w:eastAsia="zh-CN" w:bidi="ar-SA"/>
    </w:rPr>
  </w:style>
  <w:style w:type="paragraph" w:customStyle="1" w:styleId="106">
    <w:name w:val="字母编号列项（一级）"/>
    <w:qFormat/>
    <w:uiPriority w:val="0"/>
    <w:pPr>
      <w:ind w:left="840" w:leftChars="200" w:hanging="420" w:hangingChars="200"/>
      <w:jc w:val="both"/>
    </w:pPr>
    <w:rPr>
      <w:rFonts w:ascii="宋体" w:hAnsi="Times New Roman" w:eastAsia="宋体" w:cs="Times New Roman"/>
      <w:sz w:val="21"/>
      <w:lang w:val="en-US" w:eastAsia="zh-CN" w:bidi="ar-SA"/>
    </w:rPr>
  </w:style>
  <w:style w:type="character" w:customStyle="1" w:styleId="107">
    <w:name w:val="mtitle1"/>
    <w:qFormat/>
    <w:uiPriority w:val="0"/>
    <w:rPr>
      <w:rFonts w:hint="default" w:ascii="ˎ̥" w:hAnsi="ˎ̥"/>
      <w:color w:val="000000"/>
      <w:sz w:val="21"/>
      <w:szCs w:val="21"/>
    </w:rPr>
  </w:style>
  <w:style w:type="paragraph" w:customStyle="1" w:styleId="108">
    <w:name w:val="四级条标题"/>
    <w:basedOn w:val="74"/>
    <w:next w:val="64"/>
    <w:qFormat/>
    <w:uiPriority w:val="0"/>
    <w:pPr>
      <w:numPr>
        <w:ilvl w:val="5"/>
      </w:numPr>
      <w:outlineLvl w:val="5"/>
    </w:pPr>
  </w:style>
  <w:style w:type="paragraph" w:customStyle="1" w:styleId="109">
    <w:name w:val="目次、标准名称标题"/>
    <w:basedOn w:val="57"/>
    <w:next w:val="64"/>
    <w:qFormat/>
    <w:uiPriority w:val="0"/>
    <w:pPr>
      <w:numPr>
        <w:numId w:val="0"/>
      </w:numPr>
      <w:spacing w:line="460" w:lineRule="exact"/>
    </w:pPr>
  </w:style>
  <w:style w:type="paragraph" w:customStyle="1" w:styleId="110">
    <w:name w:val="列项·"/>
    <w:qFormat/>
    <w:uiPriority w:val="0"/>
    <w:pPr>
      <w:numPr>
        <w:ilvl w:val="0"/>
        <w:numId w:val="8"/>
      </w:numPr>
      <w:tabs>
        <w:tab w:val="left" w:pos="840"/>
        <w:tab w:val="clear" w:pos="1140"/>
      </w:tabs>
      <w:ind w:left="840" w:leftChars="200" w:hanging="420" w:hangingChars="200"/>
      <w:jc w:val="both"/>
    </w:pPr>
    <w:rPr>
      <w:rFonts w:ascii="宋体" w:hAnsi="Times New Roman" w:eastAsia="宋体" w:cs="Times New Roman"/>
      <w:sz w:val="21"/>
      <w:lang w:val="en-US" w:eastAsia="zh-CN" w:bidi="ar-SA"/>
    </w:rPr>
  </w:style>
  <w:style w:type="paragraph" w:customStyle="1" w:styleId="111">
    <w:name w:val="五级无标题条"/>
    <w:basedOn w:val="1"/>
    <w:qFormat/>
    <w:uiPriority w:val="0"/>
    <w:pPr>
      <w:numPr>
        <w:ilvl w:val="6"/>
        <w:numId w:val="4"/>
      </w:numPr>
    </w:pPr>
  </w:style>
  <w:style w:type="paragraph" w:customStyle="1" w:styleId="112">
    <w:name w:val="发布日期"/>
    <w:qFormat/>
    <w:uiPriority w:val="0"/>
    <w:rPr>
      <w:rFonts w:ascii="Times New Roman" w:hAnsi="Times New Roman" w:eastAsia="黑体" w:cs="Times New Roman"/>
      <w:sz w:val="28"/>
      <w:lang w:val="en-US" w:eastAsia="zh-CN" w:bidi="ar-SA"/>
    </w:rPr>
  </w:style>
  <w:style w:type="paragraph" w:customStyle="1" w:styleId="113">
    <w:name w:val="示例"/>
    <w:next w:val="64"/>
    <w:qFormat/>
    <w:uiPriority w:val="0"/>
    <w:pPr>
      <w:numPr>
        <w:ilvl w:val="0"/>
        <w:numId w:val="9"/>
      </w:numPr>
      <w:tabs>
        <w:tab w:val="left" w:pos="816"/>
        <w:tab w:val="clear" w:pos="1120"/>
      </w:tabs>
      <w:ind w:firstLine="419" w:firstLineChars="233"/>
      <w:jc w:val="both"/>
    </w:pPr>
    <w:rPr>
      <w:rFonts w:ascii="宋体" w:hAnsi="Times New Roman" w:eastAsia="宋体" w:cs="Times New Roman"/>
      <w:sz w:val="18"/>
      <w:lang w:val="en-US" w:eastAsia="zh-CN" w:bidi="ar-SA"/>
    </w:rPr>
  </w:style>
  <w:style w:type="paragraph" w:customStyle="1" w:styleId="114">
    <w:name w:val="正文图标题"/>
    <w:next w:val="64"/>
    <w:qFormat/>
    <w:uiPriority w:val="0"/>
    <w:pPr>
      <w:numPr>
        <w:ilvl w:val="0"/>
        <w:numId w:val="10"/>
      </w:numPr>
      <w:jc w:val="center"/>
    </w:pPr>
    <w:rPr>
      <w:rFonts w:ascii="黑体" w:hAnsi="Times New Roman" w:eastAsia="黑体" w:cs="Times New Roman"/>
      <w:sz w:val="21"/>
      <w:lang w:val="en-US" w:eastAsia="zh-CN" w:bidi="ar-SA"/>
    </w:rPr>
  </w:style>
  <w:style w:type="paragraph" w:customStyle="1" w:styleId="115">
    <w:name w:val="五级条标题"/>
    <w:basedOn w:val="108"/>
    <w:next w:val="64"/>
    <w:qFormat/>
    <w:uiPriority w:val="0"/>
    <w:pPr>
      <w:numPr>
        <w:ilvl w:val="6"/>
      </w:numPr>
      <w:outlineLvl w:val="6"/>
    </w:pPr>
  </w:style>
  <w:style w:type="paragraph" w:customStyle="1" w:styleId="116">
    <w:name w:val="目次、索引正文"/>
    <w:qFormat/>
    <w:uiPriority w:val="0"/>
    <w:pPr>
      <w:spacing w:line="320" w:lineRule="exact"/>
      <w:jc w:val="both"/>
    </w:pPr>
    <w:rPr>
      <w:rFonts w:ascii="宋体" w:hAnsi="Times New Roman" w:eastAsia="宋体" w:cs="Times New Roman"/>
      <w:sz w:val="21"/>
      <w:lang w:val="en-US" w:eastAsia="zh-CN" w:bidi="ar-SA"/>
    </w:rPr>
  </w:style>
  <w:style w:type="paragraph" w:customStyle="1" w:styleId="117">
    <w:name w:val="附录图标题"/>
    <w:next w:val="64"/>
    <w:qFormat/>
    <w:uiPriority w:val="0"/>
    <w:pPr>
      <w:jc w:val="center"/>
    </w:pPr>
    <w:rPr>
      <w:rFonts w:ascii="黑体" w:hAnsi="Times New Roman" w:eastAsia="黑体" w:cs="Times New Roman"/>
      <w:sz w:val="21"/>
      <w:lang w:val="en-US" w:eastAsia="zh-CN" w:bidi="ar-SA"/>
    </w:rPr>
  </w:style>
  <w:style w:type="paragraph" w:customStyle="1" w:styleId="118">
    <w:name w:val="实施日期"/>
    <w:basedOn w:val="112"/>
    <w:qFormat/>
    <w:uiPriority w:val="0"/>
    <w:pPr>
      <w:jc w:val="right"/>
    </w:pPr>
  </w:style>
  <w:style w:type="paragraph" w:customStyle="1" w:styleId="119">
    <w:name w:val="封面标准名称"/>
    <w:qFormat/>
    <w:uiPriority w:val="0"/>
    <w:pPr>
      <w:widowControl w:val="0"/>
      <w:spacing w:line="680" w:lineRule="exact"/>
      <w:jc w:val="center"/>
      <w:textAlignment w:val="center"/>
    </w:pPr>
    <w:rPr>
      <w:rFonts w:ascii="黑体" w:hAnsi="Times New Roman" w:eastAsia="黑体" w:cs="Times New Roman"/>
      <w:sz w:val="52"/>
      <w:lang w:val="en-US" w:eastAsia="zh-CN" w:bidi="ar-SA"/>
    </w:rPr>
  </w:style>
  <w:style w:type="paragraph" w:customStyle="1" w:styleId="120">
    <w:name w:val="Char Char Char Char Char Char1"/>
    <w:basedOn w:val="1"/>
    <w:qFormat/>
    <w:uiPriority w:val="0"/>
    <w:pPr>
      <w:widowControl/>
      <w:spacing w:after="160" w:line="240" w:lineRule="exact"/>
      <w:jc w:val="left"/>
    </w:pPr>
    <w:rPr>
      <w:rFonts w:ascii="Verdana" w:hAnsi="Verdana" w:eastAsia="仿宋_GB2312"/>
      <w:kern w:val="0"/>
      <w:sz w:val="24"/>
      <w:lang w:eastAsia="en-US"/>
    </w:rPr>
  </w:style>
  <w:style w:type="paragraph" w:customStyle="1" w:styleId="121">
    <w:name w:val="数字编号列项（二级）"/>
    <w:qFormat/>
    <w:uiPriority w:val="0"/>
    <w:pPr>
      <w:ind w:left="1260" w:leftChars="400" w:hanging="420" w:hangingChars="200"/>
      <w:jc w:val="both"/>
    </w:pPr>
    <w:rPr>
      <w:rFonts w:ascii="宋体" w:hAnsi="Times New Roman" w:eastAsia="宋体" w:cs="Times New Roman"/>
      <w:sz w:val="21"/>
      <w:lang w:val="en-US" w:eastAsia="zh-CN" w:bidi="ar-SA"/>
    </w:rPr>
  </w:style>
  <w:style w:type="paragraph" w:customStyle="1" w:styleId="122">
    <w:name w:val="修订1"/>
    <w:hidden/>
    <w:semiHidden/>
    <w:qFormat/>
    <w:uiPriority w:val="99"/>
    <w:rPr>
      <w:rFonts w:ascii="Times New Roman" w:hAnsi="Times New Roman" w:eastAsia="宋体" w:cs="Times New Roman"/>
      <w:kern w:val="2"/>
      <w:sz w:val="21"/>
      <w:lang w:val="en-US" w:eastAsia="zh-CN" w:bidi="ar-SA"/>
    </w:rPr>
  </w:style>
  <w:style w:type="paragraph" w:customStyle="1" w:styleId="123">
    <w:name w:val="参考文献、索引标题"/>
    <w:basedOn w:val="57"/>
    <w:next w:val="1"/>
    <w:qFormat/>
    <w:uiPriority w:val="0"/>
    <w:pPr>
      <w:numPr>
        <w:numId w:val="0"/>
      </w:numPr>
      <w:spacing w:after="200"/>
    </w:pPr>
    <w:rPr>
      <w:sz w:val="21"/>
    </w:rPr>
  </w:style>
  <w:style w:type="paragraph" w:customStyle="1" w:styleId="124">
    <w:name w:val="标准标志"/>
    <w:next w:val="1"/>
    <w:qFormat/>
    <w:uiPriority w:val="0"/>
    <w:pPr>
      <w:shd w:val="solid" w:color="FFFFFF" w:fill="FFFFFF"/>
      <w:spacing w:line="0" w:lineRule="atLeast"/>
      <w:jc w:val="right"/>
    </w:pPr>
    <w:rPr>
      <w:rFonts w:ascii="Times New Roman" w:hAnsi="Times New Roman" w:eastAsia="宋体" w:cs="Times New Roman"/>
      <w:b/>
      <w:w w:val="130"/>
      <w:sz w:val="96"/>
      <w:lang w:val="en-US" w:eastAsia="zh-CN" w:bidi="ar-SA"/>
    </w:rPr>
  </w:style>
  <w:style w:type="paragraph" w:customStyle="1" w:styleId="125">
    <w:name w:val="其他发布部门"/>
    <w:basedOn w:val="86"/>
    <w:qFormat/>
    <w:uiPriority w:val="0"/>
    <w:pPr>
      <w:spacing w:line="0" w:lineRule="atLeast"/>
    </w:pPr>
    <w:rPr>
      <w:rFonts w:ascii="黑体" w:eastAsia="黑体"/>
      <w:b w:val="0"/>
    </w:rPr>
  </w:style>
  <w:style w:type="paragraph" w:customStyle="1" w:styleId="126">
    <w:name w:val="封面正文"/>
    <w:qFormat/>
    <w:uiPriority w:val="0"/>
    <w:pPr>
      <w:jc w:val="both"/>
    </w:pPr>
    <w:rPr>
      <w:rFonts w:ascii="Times New Roman" w:hAnsi="Times New Roman" w:eastAsia="宋体" w:cs="Times New Roman"/>
      <w:lang w:val="en-US" w:eastAsia="zh-CN" w:bidi="ar-SA"/>
    </w:rPr>
  </w:style>
  <w:style w:type="paragraph" w:customStyle="1" w:styleId="127">
    <w:name w:val="附录表标题"/>
    <w:next w:val="64"/>
    <w:qFormat/>
    <w:uiPriority w:val="0"/>
    <w:pPr>
      <w:jc w:val="center"/>
      <w:textAlignment w:val="baseline"/>
    </w:pPr>
    <w:rPr>
      <w:rFonts w:ascii="黑体" w:hAnsi="Times New Roman" w:eastAsia="黑体" w:cs="Times New Roman"/>
      <w:kern w:val="21"/>
      <w:sz w:val="21"/>
      <w:lang w:val="en-US" w:eastAsia="zh-CN" w:bidi="ar-SA"/>
    </w:rPr>
  </w:style>
  <w:style w:type="paragraph" w:customStyle="1" w:styleId="128">
    <w:name w:val="封面标准文稿编辑信息"/>
    <w:qFormat/>
    <w:uiPriority w:val="0"/>
    <w:pPr>
      <w:spacing w:before="180" w:line="180" w:lineRule="exact"/>
      <w:jc w:val="center"/>
    </w:pPr>
    <w:rPr>
      <w:rFonts w:ascii="宋体" w:hAnsi="Times New Roman" w:eastAsia="宋体" w:cs="Times New Roman"/>
      <w:sz w:val="21"/>
      <w:lang w:val="en-US" w:eastAsia="zh-CN" w:bidi="ar-SA"/>
    </w:rPr>
  </w:style>
  <w:style w:type="character" w:customStyle="1" w:styleId="129">
    <w:name w:val="批注文字 Char"/>
    <w:basedOn w:val="40"/>
    <w:link w:val="21"/>
    <w:semiHidden/>
    <w:qFormat/>
    <w:uiPriority w:val="0"/>
    <w:rPr>
      <w:kern w:val="2"/>
      <w:sz w:val="21"/>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glossaryDocument" Target="glossary/document.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adfa7c9f-6980-41d6-9e5c-b22d6cdcf0d2}"/>
        <w:style w:val=""/>
        <w:category>
          <w:name w:val="常规"/>
          <w:gallery w:val="placeholder"/>
        </w:category>
        <w:types>
          <w:type w:val="bbPlcHdr"/>
        </w:types>
        <w:behaviors>
          <w:behavior w:val="content"/>
        </w:behaviors>
        <w:description w:val=""/>
        <w:guid w:val="{adfa7c9f-6980-41d6-9e5c-b22d6cdcf0d2}"/>
      </w:docPartPr>
      <w:docPartBody>
        <w:p>
          <w:pPr>
            <w:pStyle w:val="2"/>
          </w:pPr>
          <w:r>
            <w:rPr>
              <w:rStyle w:val="3"/>
              <w:rFonts w:hint="eastAsia"/>
            </w:rPr>
            <w:t>单击或点击此处输入文字。</w:t>
          </w:r>
        </w:p>
      </w:docPartBody>
    </w:docPart>
    <w:docPart>
      <w:docPartPr>
        <w:name w:val="{edc7e85a-b040-4bd5-bebb-793db8dafd3a}"/>
        <w:style w:val=""/>
        <w:category>
          <w:name w:val="常规"/>
          <w:gallery w:val="placeholder"/>
        </w:category>
        <w:types>
          <w:type w:val="bbPlcHdr"/>
        </w:types>
        <w:behaviors>
          <w:behavior w:val="content"/>
        </w:behaviors>
        <w:description w:val=""/>
        <w:guid w:val="{edc7e85a-b040-4bd5-bebb-793db8dafd3a}"/>
      </w:docPartPr>
      <w:docPartBody>
        <w:p>
          <w:pPr>
            <w:pStyle w:val="2"/>
          </w:pPr>
          <w:r>
            <w:rPr>
              <w:rStyle w:val="3"/>
              <w:rFonts w:hint="eastAsia"/>
            </w:rPr>
            <w:t>单击或点击此处输入文字。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2"/>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iPriority="1" w:name="Default Paragraph Font"/>
    <w:lsdException w:qFormat="1" w:unhideWhenUsed="0" w:uiPriority="99" w:name="Placeholder Text"/>
  </w:latentStyles>
  <w:style w:type="character" w:default="1" w:styleId="1">
    <w:name w:val="Default Paragraph Font"/>
    <w:semiHidden/>
    <w:unhideWhenUsed/>
    <w:qFormat/>
    <w:uiPriority w:val="1"/>
  </w:style>
  <w:style w:type="paragraph" w:customStyle="1" w:styleId="2">
    <w:name w:val="1CE4D1B4AAB2402FB1B51036F261601F"/>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styleId="3">
    <w:name w:val="Placeholder Text"/>
    <w:basedOn w:val="1"/>
    <w:semiHidden/>
    <w:qFormat/>
    <w:uiPriority w:val="99"/>
    <w:rPr>
      <w:color w:val="808080"/>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6</Pages>
  <Words>560</Words>
  <Characters>3194</Characters>
  <Lines>26</Lines>
  <Paragraphs>7</Paragraphs>
  <TotalTime>2</TotalTime>
  <ScaleCrop>false</ScaleCrop>
  <LinksUpToDate>false</LinksUpToDate>
  <CharactersWithSpaces>3747</CharactersWithSpaces>
  <Application>WPS Office_11.8.2.9695_F1E327BC-269C-435d-A152-05C5408002CA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2026-10-22T01:12:00Z</dcterms:created>
  <dc:creator>oa</dc:creator>
  <cp:lastModifiedBy>贺鹏艳</cp:lastModifiedBy>
  <dcterms:modified xsi:type="dcterms:W3CDTF">2026-10-22T10:52:26Z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2052-11.8.2.9695</vt:lpwstr>
  </property>
</Properties>
</file>