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Microsoft_Visio___1.vsdx" ContentType="application/vnd.ms-visio.drawing"/>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2FFE22">
      <w:pPr>
        <w:autoSpaceDE w:val="0"/>
        <w:autoSpaceDN w:val="0"/>
        <w:adjustRightInd w:val="0"/>
        <w:jc w:val="center"/>
        <w:rPr>
          <w:rFonts w:ascii="方正小标宋简体" w:eastAsia="方正小标宋简体"/>
          <w:sz w:val="32"/>
          <w:szCs w:val="32"/>
        </w:rPr>
      </w:pPr>
      <w:r>
        <w:rPr>
          <w:rFonts w:hint="eastAsia" w:ascii="方正小标宋简体" w:eastAsia="方正小标宋简体"/>
          <w:sz w:val="32"/>
          <w:szCs w:val="32"/>
        </w:rPr>
        <w:t>认证认可</w:t>
      </w:r>
      <w:r>
        <w:rPr>
          <w:rFonts w:ascii="方正小标宋简体" w:eastAsia="方正小标宋简体"/>
          <w:sz w:val="32"/>
          <w:szCs w:val="32"/>
        </w:rPr>
        <w:t>行业标准草案编制说明</w:t>
      </w:r>
    </w:p>
    <w:tbl>
      <w:tblPr>
        <w:tblStyle w:val="38"/>
        <w:tblpPr w:leftFromText="180" w:rightFromText="180" w:vertAnchor="text" w:horzAnchor="margin" w:tblpXSpec="center" w:tblpY="169"/>
        <w:tblW w:w="9384"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794"/>
        <w:gridCol w:w="1384"/>
        <w:gridCol w:w="1155"/>
        <w:gridCol w:w="2105"/>
        <w:gridCol w:w="1128"/>
        <w:gridCol w:w="1818"/>
      </w:tblGrid>
      <w:tr w14:paraId="27463BA7">
        <w:trPr>
          <w:cantSplit/>
          <w:trHeight w:val="168" w:hRule="atLeast"/>
        </w:trPr>
        <w:tc>
          <w:tcPr>
            <w:tcW w:w="9384" w:type="dxa"/>
            <w:gridSpan w:val="6"/>
            <w:tcBorders>
              <w:top w:val="nil"/>
              <w:left w:val="nil"/>
              <w:bottom w:val="nil"/>
              <w:right w:val="nil"/>
            </w:tcBorders>
            <w:vAlign w:val="center"/>
          </w:tcPr>
          <w:p w14:paraId="1B2AF7AA">
            <w:pPr>
              <w:rPr>
                <w:rFonts w:ascii="宋体" w:hAnsi="宋体"/>
                <w:b/>
                <w:color w:val="000000"/>
                <w:szCs w:val="21"/>
              </w:rPr>
            </w:pPr>
            <w:r>
              <w:rPr>
                <w:rFonts w:hint="eastAsia" w:ascii="宋体" w:hAnsi="宋体"/>
                <w:b/>
                <w:color w:val="000000"/>
                <w:szCs w:val="21"/>
              </w:rPr>
              <w:t>1、基本信息</w:t>
            </w:r>
          </w:p>
        </w:tc>
      </w:tr>
      <w:tr w14:paraId="45628D77">
        <w:trPr>
          <w:cantSplit/>
          <w:trHeight w:val="568" w:hRule="atLeast"/>
        </w:trPr>
        <w:tc>
          <w:tcPr>
            <w:tcW w:w="1794" w:type="dxa"/>
            <w:vMerge w:val="restart"/>
            <w:tcBorders>
              <w:top w:val="single" w:color="auto" w:sz="4" w:space="0"/>
              <w:left w:val="single" w:color="auto" w:sz="4" w:space="0"/>
              <w:bottom w:val="single" w:color="auto" w:sz="4" w:space="0"/>
              <w:right w:val="single" w:color="auto" w:sz="4" w:space="0"/>
            </w:tcBorders>
            <w:vAlign w:val="center"/>
          </w:tcPr>
          <w:p w14:paraId="48FBF6D2">
            <w:pPr>
              <w:ind w:left="141" w:leftChars="67" w:right="176" w:rightChars="84"/>
              <w:rPr>
                <w:rFonts w:ascii="宋体" w:hAnsi="宋体"/>
                <w:color w:val="000000"/>
                <w:szCs w:val="21"/>
              </w:rPr>
            </w:pPr>
            <w:r>
              <w:rPr>
                <w:rFonts w:ascii="宋体" w:hAnsi="宋体"/>
                <w:color w:val="000000"/>
                <w:szCs w:val="21"/>
              </w:rPr>
              <w:t>1.1 标准草案名称</w:t>
            </w:r>
          </w:p>
        </w:tc>
        <w:tc>
          <w:tcPr>
            <w:tcW w:w="1384" w:type="dxa"/>
            <w:tcBorders>
              <w:top w:val="single" w:color="auto" w:sz="4" w:space="0"/>
              <w:left w:val="single" w:color="auto" w:sz="4" w:space="0"/>
              <w:bottom w:val="single" w:color="auto" w:sz="4" w:space="0"/>
              <w:right w:val="single" w:color="auto" w:sz="4" w:space="0"/>
            </w:tcBorders>
            <w:vAlign w:val="center"/>
          </w:tcPr>
          <w:p w14:paraId="2E557883">
            <w:pPr>
              <w:jc w:val="center"/>
              <w:rPr>
                <w:rFonts w:ascii="宋体" w:hAnsi="宋体"/>
                <w:color w:val="000000"/>
                <w:szCs w:val="21"/>
              </w:rPr>
            </w:pPr>
            <w:r>
              <w:rPr>
                <w:rFonts w:ascii="宋体" w:hAnsi="宋体"/>
                <w:color w:val="000000"/>
                <w:szCs w:val="21"/>
              </w:rPr>
              <w:t>中文</w:t>
            </w:r>
          </w:p>
        </w:tc>
        <w:tc>
          <w:tcPr>
            <w:tcW w:w="6206" w:type="dxa"/>
            <w:gridSpan w:val="4"/>
            <w:tcBorders>
              <w:top w:val="single" w:color="auto" w:sz="4" w:space="0"/>
              <w:left w:val="single" w:color="auto" w:sz="4" w:space="0"/>
              <w:bottom w:val="single" w:color="auto" w:sz="4" w:space="0"/>
              <w:right w:val="single" w:color="auto" w:sz="4" w:space="0"/>
            </w:tcBorders>
            <w:vAlign w:val="center"/>
          </w:tcPr>
          <w:p w14:paraId="268BEC15">
            <w:pPr>
              <w:jc w:val="center"/>
              <w:rPr>
                <w:rFonts w:ascii="宋体" w:hAnsi="宋体"/>
                <w:color w:val="000000"/>
                <w:szCs w:val="21"/>
              </w:rPr>
            </w:pPr>
            <w:r>
              <w:rPr>
                <w:rFonts w:hint="eastAsia" w:ascii="宋体" w:hAnsi="宋体"/>
                <w:color w:val="000000"/>
                <w:szCs w:val="21"/>
              </w:rPr>
              <w:t>检验检测机构数据分析应用规范</w:t>
            </w:r>
          </w:p>
        </w:tc>
      </w:tr>
      <w:tr w14:paraId="467CF3A9">
        <w:trPr>
          <w:cantSplit/>
          <w:trHeight w:val="548" w:hRule="atLeast"/>
        </w:trPr>
        <w:tc>
          <w:tcPr>
            <w:tcW w:w="1794" w:type="dxa"/>
            <w:vMerge w:val="continue"/>
            <w:tcBorders>
              <w:top w:val="single" w:color="auto" w:sz="4" w:space="0"/>
              <w:left w:val="single" w:color="auto" w:sz="4" w:space="0"/>
              <w:bottom w:val="single" w:color="auto" w:sz="4" w:space="0"/>
              <w:right w:val="single" w:color="auto" w:sz="4" w:space="0"/>
            </w:tcBorders>
            <w:vAlign w:val="center"/>
          </w:tcPr>
          <w:p w14:paraId="20E8B3B6">
            <w:pPr>
              <w:ind w:left="141" w:leftChars="67" w:right="176" w:rightChars="84"/>
              <w:jc w:val="center"/>
              <w:rPr>
                <w:rFonts w:ascii="宋体" w:hAnsi="宋体"/>
                <w:color w:val="000000"/>
                <w:szCs w:val="21"/>
              </w:rPr>
            </w:pPr>
          </w:p>
        </w:tc>
        <w:tc>
          <w:tcPr>
            <w:tcW w:w="1384" w:type="dxa"/>
            <w:tcBorders>
              <w:top w:val="single" w:color="auto" w:sz="4" w:space="0"/>
              <w:left w:val="single" w:color="auto" w:sz="4" w:space="0"/>
              <w:bottom w:val="single" w:color="auto" w:sz="6" w:space="0"/>
              <w:right w:val="single" w:color="auto" w:sz="4" w:space="0"/>
            </w:tcBorders>
            <w:vAlign w:val="center"/>
          </w:tcPr>
          <w:p w14:paraId="06418E83">
            <w:pPr>
              <w:jc w:val="center"/>
              <w:rPr>
                <w:rFonts w:ascii="宋体" w:hAnsi="宋体"/>
                <w:color w:val="000000"/>
                <w:szCs w:val="21"/>
              </w:rPr>
            </w:pPr>
            <w:r>
              <w:rPr>
                <w:rFonts w:ascii="宋体" w:hAnsi="宋体"/>
                <w:color w:val="000000"/>
                <w:szCs w:val="21"/>
              </w:rPr>
              <w:t>英文</w:t>
            </w:r>
          </w:p>
        </w:tc>
        <w:tc>
          <w:tcPr>
            <w:tcW w:w="6206" w:type="dxa"/>
            <w:gridSpan w:val="4"/>
            <w:tcBorders>
              <w:top w:val="single" w:color="auto" w:sz="4" w:space="0"/>
              <w:left w:val="single" w:color="auto" w:sz="4" w:space="0"/>
              <w:bottom w:val="single" w:color="auto" w:sz="4" w:space="0"/>
            </w:tcBorders>
            <w:vAlign w:val="center"/>
          </w:tcPr>
          <w:p w14:paraId="17976390">
            <w:pPr>
              <w:rPr>
                <w:rFonts w:ascii="宋体" w:hAnsi="宋体"/>
                <w:color w:val="000000"/>
                <w:szCs w:val="21"/>
              </w:rPr>
            </w:pPr>
            <w:r>
              <w:rPr>
                <w:rFonts w:ascii="宋体" w:hAnsi="宋体"/>
                <w:color w:val="000000"/>
                <w:szCs w:val="21"/>
              </w:rPr>
              <w:t>Specification for analysis and application of inspection and testing institutions data</w:t>
            </w:r>
          </w:p>
        </w:tc>
      </w:tr>
      <w:tr w14:paraId="7DEE5C0B">
        <w:trPr>
          <w:cantSplit/>
          <w:trHeight w:val="603" w:hRule="atLeast"/>
        </w:trPr>
        <w:tc>
          <w:tcPr>
            <w:tcW w:w="1794" w:type="dxa"/>
            <w:vMerge w:val="restart"/>
            <w:tcBorders>
              <w:right w:val="single" w:color="auto" w:sz="4" w:space="0"/>
            </w:tcBorders>
            <w:vAlign w:val="center"/>
          </w:tcPr>
          <w:p w14:paraId="24CCB181">
            <w:pPr>
              <w:ind w:left="141" w:leftChars="67" w:right="176" w:rightChars="84"/>
              <w:rPr>
                <w:rFonts w:ascii="宋体" w:hAnsi="宋体"/>
                <w:color w:val="000000"/>
                <w:szCs w:val="21"/>
              </w:rPr>
            </w:pPr>
            <w:r>
              <w:rPr>
                <w:rFonts w:ascii="宋体" w:hAnsi="宋体"/>
                <w:color w:val="000000"/>
                <w:szCs w:val="21"/>
              </w:rPr>
              <w:t>1.2 与国际标准和国外先进标准一致</w:t>
            </w:r>
            <w:r>
              <w:rPr>
                <w:rFonts w:hint="eastAsia" w:ascii="宋体" w:hAnsi="宋体"/>
                <w:color w:val="000000"/>
                <w:szCs w:val="21"/>
              </w:rPr>
              <w:t>性</w:t>
            </w:r>
            <w:r>
              <w:rPr>
                <w:rFonts w:ascii="宋体" w:hAnsi="宋体"/>
                <w:color w:val="000000"/>
                <w:szCs w:val="21"/>
              </w:rPr>
              <w:t>程度情况</w:t>
            </w:r>
          </w:p>
        </w:tc>
        <w:tc>
          <w:tcPr>
            <w:tcW w:w="1384" w:type="dxa"/>
            <w:vMerge w:val="restart"/>
            <w:tcBorders>
              <w:left w:val="single" w:color="auto" w:sz="4" w:space="0"/>
              <w:right w:val="single" w:color="auto" w:sz="4" w:space="0"/>
            </w:tcBorders>
            <w:vAlign w:val="center"/>
          </w:tcPr>
          <w:p w14:paraId="572988F5">
            <w:pPr>
              <w:rPr>
                <w:rFonts w:ascii="宋体" w:hAnsi="宋体"/>
                <w:color w:val="000000"/>
                <w:szCs w:val="21"/>
              </w:rPr>
            </w:pPr>
            <w:r>
              <w:rPr>
                <w:rFonts w:ascii="宋体" w:hAnsi="宋体"/>
                <w:color w:val="000000"/>
                <w:szCs w:val="21"/>
              </w:rPr>
              <w:t>□等同</w:t>
            </w:r>
            <w:r>
              <w:rPr>
                <w:rFonts w:hint="eastAsia" w:ascii="宋体" w:hAnsi="宋体"/>
                <w:color w:val="000000"/>
                <w:szCs w:val="21"/>
              </w:rPr>
              <w:t>采用</w:t>
            </w:r>
          </w:p>
          <w:p w14:paraId="47618238">
            <w:pPr>
              <w:rPr>
                <w:rFonts w:ascii="宋体" w:hAnsi="宋体"/>
                <w:color w:val="000000"/>
                <w:szCs w:val="21"/>
              </w:rPr>
            </w:pPr>
            <w:r>
              <w:rPr>
                <w:rFonts w:ascii="宋体" w:hAnsi="宋体"/>
                <w:color w:val="000000"/>
                <w:szCs w:val="21"/>
              </w:rPr>
              <w:t>□修改</w:t>
            </w:r>
            <w:r>
              <w:rPr>
                <w:rFonts w:hint="eastAsia" w:ascii="宋体" w:hAnsi="宋体"/>
                <w:color w:val="000000"/>
                <w:szCs w:val="21"/>
              </w:rPr>
              <w:t>采用</w:t>
            </w:r>
          </w:p>
          <w:p w14:paraId="0A39DF65">
            <w:pPr>
              <w:rPr>
                <w:rFonts w:ascii="宋体" w:hAnsi="宋体"/>
                <w:color w:val="000000"/>
                <w:szCs w:val="21"/>
              </w:rPr>
            </w:pPr>
            <w:r>
              <w:rPr>
                <w:rFonts w:ascii="宋体" w:hAnsi="宋体"/>
                <w:color w:val="000000"/>
                <w:szCs w:val="21"/>
              </w:rPr>
              <w:t>□非等效</w:t>
            </w:r>
            <w:r>
              <w:rPr>
                <w:rFonts w:hint="eastAsia" w:ascii="宋体" w:hAnsi="宋体"/>
                <w:color w:val="000000"/>
                <w:szCs w:val="21"/>
              </w:rPr>
              <w:t>采用</w:t>
            </w:r>
          </w:p>
          <w:p w14:paraId="339966BB">
            <w:pPr>
              <w:rPr>
                <w:rFonts w:ascii="宋体" w:hAnsi="宋体"/>
                <w:color w:val="000000"/>
                <w:szCs w:val="21"/>
              </w:rPr>
            </w:pPr>
            <w:r>
              <w:rPr>
                <w:rFonts w:hint="eastAsia" w:ascii="宋体" w:hAnsi="宋体"/>
                <w:color w:val="000000"/>
                <w:szCs w:val="21"/>
              </w:rPr>
              <w:t>☑未采用</w:t>
            </w:r>
          </w:p>
        </w:tc>
        <w:tc>
          <w:tcPr>
            <w:tcW w:w="1155" w:type="dxa"/>
            <w:tcBorders>
              <w:left w:val="single" w:color="auto" w:sz="4" w:space="0"/>
              <w:bottom w:val="single" w:color="auto" w:sz="4" w:space="0"/>
              <w:right w:val="single" w:color="auto" w:sz="4" w:space="0"/>
            </w:tcBorders>
            <w:vAlign w:val="center"/>
          </w:tcPr>
          <w:p w14:paraId="76291283">
            <w:pPr>
              <w:jc w:val="center"/>
              <w:rPr>
                <w:rFonts w:ascii="宋体" w:hAnsi="宋体"/>
                <w:color w:val="000000"/>
                <w:szCs w:val="21"/>
              </w:rPr>
            </w:pPr>
            <w:r>
              <w:rPr>
                <w:rFonts w:ascii="宋体" w:hAnsi="宋体"/>
                <w:color w:val="000000"/>
                <w:szCs w:val="21"/>
              </w:rPr>
              <w:t>标准</w:t>
            </w:r>
            <w:r>
              <w:rPr>
                <w:rFonts w:hint="eastAsia" w:ascii="宋体" w:hAnsi="宋体"/>
                <w:color w:val="000000"/>
                <w:szCs w:val="21"/>
              </w:rPr>
              <w:t>编</w:t>
            </w:r>
            <w:r>
              <w:rPr>
                <w:rFonts w:ascii="宋体" w:hAnsi="宋体"/>
                <w:color w:val="000000"/>
                <w:szCs w:val="21"/>
              </w:rPr>
              <w:t>号</w:t>
            </w:r>
          </w:p>
        </w:tc>
        <w:tc>
          <w:tcPr>
            <w:tcW w:w="5051" w:type="dxa"/>
            <w:gridSpan w:val="3"/>
            <w:tcBorders>
              <w:left w:val="single" w:color="auto" w:sz="4" w:space="0"/>
              <w:bottom w:val="single" w:color="auto" w:sz="4" w:space="0"/>
            </w:tcBorders>
            <w:vAlign w:val="center"/>
          </w:tcPr>
          <w:p w14:paraId="4776E0CC">
            <w:pPr>
              <w:rPr>
                <w:rFonts w:ascii="宋体" w:hAnsi="宋体"/>
                <w:color w:val="000000"/>
                <w:szCs w:val="21"/>
              </w:rPr>
            </w:pPr>
            <w:r>
              <w:rPr>
                <w:rFonts w:hint="eastAsia" w:ascii="宋体" w:hAnsi="宋体"/>
                <w:color w:val="000000"/>
                <w:szCs w:val="21"/>
              </w:rPr>
              <w:t>/</w:t>
            </w:r>
          </w:p>
        </w:tc>
      </w:tr>
      <w:tr w14:paraId="2C62B614">
        <w:trPr>
          <w:cantSplit/>
          <w:trHeight w:val="659" w:hRule="atLeast"/>
        </w:trPr>
        <w:tc>
          <w:tcPr>
            <w:tcW w:w="1794" w:type="dxa"/>
            <w:vMerge w:val="continue"/>
            <w:tcBorders>
              <w:right w:val="single" w:color="auto" w:sz="4" w:space="0"/>
            </w:tcBorders>
            <w:vAlign w:val="center"/>
          </w:tcPr>
          <w:p w14:paraId="3919550F">
            <w:pPr>
              <w:ind w:left="141" w:leftChars="67" w:right="176" w:rightChars="84"/>
              <w:jc w:val="center"/>
              <w:rPr>
                <w:rFonts w:ascii="宋体" w:hAnsi="宋体"/>
                <w:color w:val="000000"/>
                <w:szCs w:val="21"/>
              </w:rPr>
            </w:pPr>
          </w:p>
        </w:tc>
        <w:tc>
          <w:tcPr>
            <w:tcW w:w="1384" w:type="dxa"/>
            <w:vMerge w:val="continue"/>
            <w:tcBorders>
              <w:left w:val="single" w:color="auto" w:sz="4" w:space="0"/>
              <w:right w:val="single" w:color="auto" w:sz="4" w:space="0"/>
            </w:tcBorders>
            <w:vAlign w:val="center"/>
          </w:tcPr>
          <w:p w14:paraId="7F6FB389">
            <w:pPr>
              <w:jc w:val="center"/>
              <w:rPr>
                <w:rFonts w:ascii="宋体" w:hAnsi="宋体"/>
                <w:color w:val="000000"/>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51AF71EF">
            <w:pPr>
              <w:jc w:val="center"/>
              <w:rPr>
                <w:rFonts w:ascii="宋体" w:hAnsi="宋体"/>
                <w:color w:val="000000"/>
                <w:szCs w:val="21"/>
              </w:rPr>
            </w:pPr>
            <w:r>
              <w:rPr>
                <w:rFonts w:ascii="宋体" w:hAnsi="宋体"/>
                <w:color w:val="000000"/>
                <w:szCs w:val="21"/>
              </w:rPr>
              <w:t>英文名称</w:t>
            </w:r>
          </w:p>
        </w:tc>
        <w:tc>
          <w:tcPr>
            <w:tcW w:w="5051" w:type="dxa"/>
            <w:gridSpan w:val="3"/>
            <w:tcBorders>
              <w:top w:val="single" w:color="auto" w:sz="4" w:space="0"/>
              <w:left w:val="single" w:color="auto" w:sz="4" w:space="0"/>
              <w:bottom w:val="single" w:color="auto" w:sz="4" w:space="0"/>
            </w:tcBorders>
            <w:vAlign w:val="center"/>
          </w:tcPr>
          <w:p w14:paraId="47132668">
            <w:pPr>
              <w:rPr>
                <w:rFonts w:ascii="宋体" w:hAnsi="宋体"/>
                <w:color w:val="000000"/>
                <w:szCs w:val="21"/>
              </w:rPr>
            </w:pPr>
            <w:r>
              <w:rPr>
                <w:rFonts w:hint="eastAsia" w:ascii="宋体" w:hAnsi="宋体"/>
                <w:color w:val="000000"/>
                <w:szCs w:val="21"/>
              </w:rPr>
              <w:t>/</w:t>
            </w:r>
          </w:p>
        </w:tc>
      </w:tr>
      <w:tr w14:paraId="65B7ADCB">
        <w:trPr>
          <w:cantSplit/>
          <w:trHeight w:val="604" w:hRule="atLeast"/>
        </w:trPr>
        <w:tc>
          <w:tcPr>
            <w:tcW w:w="1794" w:type="dxa"/>
            <w:vMerge w:val="continue"/>
            <w:tcBorders>
              <w:right w:val="single" w:color="auto" w:sz="4" w:space="0"/>
            </w:tcBorders>
            <w:vAlign w:val="center"/>
          </w:tcPr>
          <w:p w14:paraId="58C7055D">
            <w:pPr>
              <w:ind w:left="141" w:leftChars="67" w:right="176" w:rightChars="84"/>
              <w:jc w:val="center"/>
              <w:rPr>
                <w:rFonts w:ascii="宋体" w:hAnsi="宋体"/>
                <w:color w:val="000000"/>
                <w:szCs w:val="21"/>
              </w:rPr>
            </w:pPr>
          </w:p>
        </w:tc>
        <w:tc>
          <w:tcPr>
            <w:tcW w:w="1384" w:type="dxa"/>
            <w:vMerge w:val="continue"/>
            <w:tcBorders>
              <w:left w:val="single" w:color="auto" w:sz="4" w:space="0"/>
              <w:bottom w:val="single" w:color="auto" w:sz="4" w:space="0"/>
              <w:right w:val="single" w:color="auto" w:sz="4" w:space="0"/>
            </w:tcBorders>
            <w:vAlign w:val="center"/>
          </w:tcPr>
          <w:p w14:paraId="73C6E4FF">
            <w:pPr>
              <w:jc w:val="center"/>
              <w:rPr>
                <w:rFonts w:ascii="宋体" w:hAnsi="宋体"/>
                <w:color w:val="000000"/>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7AD7671C">
            <w:pPr>
              <w:jc w:val="center"/>
              <w:rPr>
                <w:rFonts w:ascii="宋体" w:hAnsi="宋体"/>
                <w:color w:val="000000"/>
                <w:szCs w:val="21"/>
              </w:rPr>
            </w:pPr>
            <w:r>
              <w:rPr>
                <w:rFonts w:ascii="宋体" w:hAnsi="宋体"/>
                <w:color w:val="000000"/>
                <w:szCs w:val="21"/>
              </w:rPr>
              <w:t>中文名称</w:t>
            </w:r>
          </w:p>
        </w:tc>
        <w:tc>
          <w:tcPr>
            <w:tcW w:w="5051" w:type="dxa"/>
            <w:gridSpan w:val="3"/>
            <w:tcBorders>
              <w:top w:val="single" w:color="auto" w:sz="4" w:space="0"/>
              <w:left w:val="single" w:color="auto" w:sz="4" w:space="0"/>
              <w:bottom w:val="single" w:color="auto" w:sz="4" w:space="0"/>
            </w:tcBorders>
            <w:vAlign w:val="center"/>
          </w:tcPr>
          <w:p w14:paraId="47FA16C4">
            <w:pPr>
              <w:rPr>
                <w:rFonts w:ascii="宋体" w:hAnsi="宋体"/>
                <w:color w:val="000000"/>
                <w:szCs w:val="21"/>
              </w:rPr>
            </w:pPr>
            <w:r>
              <w:rPr>
                <w:rFonts w:hint="eastAsia" w:ascii="宋体" w:hAnsi="宋体"/>
                <w:color w:val="000000"/>
                <w:szCs w:val="21"/>
              </w:rPr>
              <w:t>/</w:t>
            </w:r>
          </w:p>
        </w:tc>
      </w:tr>
      <w:tr w14:paraId="115CAA15">
        <w:trPr>
          <w:cantSplit/>
          <w:trHeight w:val="510" w:hRule="atLeast"/>
        </w:trPr>
        <w:tc>
          <w:tcPr>
            <w:tcW w:w="1794" w:type="dxa"/>
            <w:tcBorders>
              <w:right w:val="single" w:color="auto" w:sz="4" w:space="0"/>
            </w:tcBorders>
            <w:vAlign w:val="center"/>
          </w:tcPr>
          <w:p w14:paraId="5B0968F0">
            <w:pPr>
              <w:ind w:left="141" w:leftChars="67" w:right="176" w:rightChars="84"/>
              <w:rPr>
                <w:rFonts w:ascii="宋体" w:hAnsi="宋体"/>
                <w:color w:val="000000"/>
                <w:szCs w:val="21"/>
              </w:rPr>
            </w:pPr>
            <w:r>
              <w:rPr>
                <w:rFonts w:ascii="宋体" w:hAnsi="宋体"/>
                <w:color w:val="000000"/>
                <w:szCs w:val="21"/>
              </w:rPr>
              <w:t>1.3 任务来源</w:t>
            </w:r>
          </w:p>
        </w:tc>
        <w:tc>
          <w:tcPr>
            <w:tcW w:w="1384" w:type="dxa"/>
            <w:tcBorders>
              <w:left w:val="single" w:color="auto" w:sz="4" w:space="0"/>
              <w:bottom w:val="single" w:color="auto" w:sz="4" w:space="0"/>
              <w:right w:val="single" w:color="auto" w:sz="4" w:space="0"/>
            </w:tcBorders>
            <w:vAlign w:val="center"/>
          </w:tcPr>
          <w:p w14:paraId="263C44C8">
            <w:pPr>
              <w:jc w:val="center"/>
              <w:rPr>
                <w:rFonts w:ascii="宋体" w:hAnsi="宋体"/>
                <w:color w:val="000000"/>
                <w:szCs w:val="21"/>
              </w:rPr>
            </w:pPr>
            <w:r>
              <w:rPr>
                <w:rFonts w:ascii="宋体" w:hAnsi="宋体"/>
                <w:color w:val="000000"/>
                <w:szCs w:val="21"/>
              </w:rPr>
              <w:t>批准立项的文件名称和文件号</w:t>
            </w:r>
          </w:p>
        </w:tc>
        <w:tc>
          <w:tcPr>
            <w:tcW w:w="3260" w:type="dxa"/>
            <w:gridSpan w:val="2"/>
            <w:tcBorders>
              <w:left w:val="single" w:color="auto" w:sz="4" w:space="0"/>
              <w:bottom w:val="single" w:color="auto" w:sz="4" w:space="0"/>
              <w:right w:val="single" w:color="auto" w:sz="4" w:space="0"/>
            </w:tcBorders>
            <w:vAlign w:val="center"/>
          </w:tcPr>
          <w:p w14:paraId="5A885DF9">
            <w:pPr>
              <w:rPr>
                <w:rFonts w:ascii="宋体" w:hAnsi="宋体"/>
                <w:color w:val="000000"/>
                <w:szCs w:val="21"/>
              </w:rPr>
            </w:pPr>
            <w:r>
              <w:rPr>
                <w:rFonts w:hint="eastAsia" w:ascii="宋体" w:hAnsi="宋体"/>
                <w:color w:val="000000"/>
                <w:szCs w:val="21"/>
              </w:rPr>
              <w:t>认监委关于下达《检验检测机构监督管理数据规范》等18项认证认可行业标准制修订计划项目的通知 国认监发〔2026〕6号</w:t>
            </w:r>
          </w:p>
        </w:tc>
        <w:tc>
          <w:tcPr>
            <w:tcW w:w="1128" w:type="dxa"/>
            <w:tcBorders>
              <w:left w:val="single" w:color="auto" w:sz="4" w:space="0"/>
              <w:bottom w:val="single" w:color="auto" w:sz="4" w:space="0"/>
              <w:right w:val="single" w:color="auto" w:sz="4" w:space="0"/>
            </w:tcBorders>
            <w:vAlign w:val="center"/>
          </w:tcPr>
          <w:p w14:paraId="345E1610">
            <w:pPr>
              <w:jc w:val="center"/>
              <w:rPr>
                <w:rFonts w:ascii="宋体" w:hAnsi="宋体"/>
                <w:color w:val="000000"/>
                <w:szCs w:val="21"/>
              </w:rPr>
            </w:pPr>
            <w:r>
              <w:rPr>
                <w:rFonts w:ascii="宋体" w:hAnsi="宋体"/>
                <w:color w:val="000000"/>
                <w:szCs w:val="21"/>
              </w:rPr>
              <w:t>计划编号</w:t>
            </w:r>
          </w:p>
        </w:tc>
        <w:tc>
          <w:tcPr>
            <w:tcW w:w="1818" w:type="dxa"/>
            <w:tcBorders>
              <w:left w:val="single" w:color="auto" w:sz="4" w:space="0"/>
              <w:bottom w:val="single" w:color="auto" w:sz="4" w:space="0"/>
            </w:tcBorders>
            <w:vAlign w:val="center"/>
          </w:tcPr>
          <w:p w14:paraId="21ECDF75">
            <w:pPr>
              <w:jc w:val="center"/>
              <w:rPr>
                <w:rFonts w:ascii="宋体" w:hAnsi="宋体"/>
                <w:color w:val="000000"/>
                <w:szCs w:val="21"/>
              </w:rPr>
            </w:pPr>
            <w:r>
              <w:rPr>
                <w:rFonts w:hint="eastAsia" w:ascii="宋体" w:hAnsi="宋体"/>
                <w:color w:val="000000"/>
                <w:szCs w:val="21"/>
              </w:rPr>
              <w:t>2026RB006</w:t>
            </w:r>
          </w:p>
        </w:tc>
      </w:tr>
      <w:tr w14:paraId="1F25A612">
        <w:trPr>
          <w:cantSplit/>
          <w:trHeight w:val="690" w:hRule="atLeast"/>
        </w:trPr>
        <w:tc>
          <w:tcPr>
            <w:tcW w:w="1794" w:type="dxa"/>
            <w:vAlign w:val="center"/>
          </w:tcPr>
          <w:p w14:paraId="7BD98204">
            <w:pPr>
              <w:spacing w:line="360" w:lineRule="exact"/>
              <w:ind w:left="141" w:leftChars="67" w:right="176" w:rightChars="84"/>
              <w:rPr>
                <w:rFonts w:ascii="宋体" w:hAnsi="宋体"/>
                <w:color w:val="000000"/>
                <w:szCs w:val="21"/>
              </w:rPr>
            </w:pPr>
            <w:r>
              <w:rPr>
                <w:rFonts w:hint="eastAsia" w:ascii="宋体" w:hAnsi="宋体"/>
                <w:color w:val="000000"/>
                <w:szCs w:val="21"/>
              </w:rPr>
              <w:t>1.4制（修）订</w:t>
            </w:r>
          </w:p>
        </w:tc>
        <w:tc>
          <w:tcPr>
            <w:tcW w:w="7590" w:type="dxa"/>
            <w:gridSpan w:val="5"/>
            <w:vAlign w:val="center"/>
          </w:tcPr>
          <w:p w14:paraId="05385AB8">
            <w:pPr>
              <w:jc w:val="left"/>
              <w:rPr>
                <w:rFonts w:ascii="宋体" w:hAnsi="宋体"/>
                <w:snapToGrid w:val="0"/>
                <w:color w:val="000000"/>
                <w:kern w:val="0"/>
                <w:szCs w:val="21"/>
              </w:rPr>
            </w:pPr>
            <w:r>
              <w:rPr>
                <w:rFonts w:hint="eastAsia" w:ascii="宋体" w:hAnsi="宋体"/>
                <w:snapToGrid w:val="0"/>
                <w:color w:val="000000"/>
                <w:kern w:val="0"/>
                <w:szCs w:val="21"/>
              </w:rPr>
              <w:t>☑制定     □修订</w:t>
            </w:r>
            <w:r>
              <w:rPr>
                <w:rFonts w:hint="eastAsia" w:ascii="宋体" w:hAnsi="宋体"/>
                <w:szCs w:val="21"/>
              </w:rPr>
              <w:t>（被修订标准名称及编号：                      ）</w:t>
            </w:r>
          </w:p>
        </w:tc>
      </w:tr>
      <w:tr w14:paraId="7E90320E">
        <w:trPr>
          <w:cantSplit/>
          <w:trHeight w:val="745" w:hRule="atLeast"/>
        </w:trPr>
        <w:tc>
          <w:tcPr>
            <w:tcW w:w="1794" w:type="dxa"/>
            <w:vAlign w:val="center"/>
          </w:tcPr>
          <w:p w14:paraId="2DC910BB">
            <w:pPr>
              <w:ind w:left="141" w:leftChars="67" w:right="176" w:rightChars="84"/>
              <w:rPr>
                <w:rFonts w:ascii="宋体" w:hAnsi="宋体"/>
                <w:color w:val="000000"/>
                <w:szCs w:val="21"/>
              </w:rPr>
            </w:pPr>
            <w:r>
              <w:rPr>
                <w:rFonts w:ascii="宋体" w:hAnsi="宋体"/>
                <w:color w:val="000000"/>
                <w:szCs w:val="21"/>
              </w:rPr>
              <w:t>1.5 起止时间</w:t>
            </w:r>
          </w:p>
        </w:tc>
        <w:tc>
          <w:tcPr>
            <w:tcW w:w="7590" w:type="dxa"/>
            <w:gridSpan w:val="5"/>
            <w:vAlign w:val="center"/>
          </w:tcPr>
          <w:p w14:paraId="7F98B8AB">
            <w:pPr>
              <w:jc w:val="center"/>
              <w:rPr>
                <w:rFonts w:ascii="宋体" w:hAnsi="宋体"/>
                <w:color w:val="000000"/>
                <w:szCs w:val="21"/>
              </w:rPr>
            </w:pPr>
            <w:r>
              <w:rPr>
                <w:rFonts w:hint="eastAsia" w:ascii="宋体" w:hAnsi="宋体"/>
                <w:color w:val="000000"/>
                <w:szCs w:val="21"/>
              </w:rPr>
              <w:t>2026</w:t>
            </w:r>
            <w:r>
              <w:rPr>
                <w:rFonts w:ascii="宋体" w:hAnsi="宋体"/>
                <w:color w:val="000000"/>
                <w:szCs w:val="21"/>
              </w:rPr>
              <w:t>年</w:t>
            </w:r>
            <w:r>
              <w:rPr>
                <w:rFonts w:hint="eastAsia" w:ascii="宋体" w:hAnsi="宋体"/>
                <w:color w:val="000000"/>
                <w:szCs w:val="21"/>
              </w:rPr>
              <w:t>8</w:t>
            </w:r>
            <w:r>
              <w:rPr>
                <w:rFonts w:ascii="宋体" w:hAnsi="宋体"/>
                <w:color w:val="000000"/>
                <w:szCs w:val="21"/>
              </w:rPr>
              <w:t>月---</w:t>
            </w:r>
            <w:r>
              <w:rPr>
                <w:rFonts w:hint="eastAsia" w:ascii="宋体" w:hAnsi="宋体"/>
                <w:color w:val="000000"/>
                <w:szCs w:val="21"/>
              </w:rPr>
              <w:t>2027</w:t>
            </w:r>
            <w:r>
              <w:rPr>
                <w:rFonts w:ascii="宋体" w:hAnsi="宋体"/>
                <w:color w:val="000000"/>
                <w:szCs w:val="21"/>
              </w:rPr>
              <w:t>年</w:t>
            </w:r>
            <w:r>
              <w:rPr>
                <w:rFonts w:hint="eastAsia" w:ascii="宋体" w:hAnsi="宋体"/>
                <w:color w:val="000000"/>
                <w:szCs w:val="21"/>
              </w:rPr>
              <w:t>6</w:t>
            </w:r>
            <w:r>
              <w:rPr>
                <w:rFonts w:ascii="宋体" w:hAnsi="宋体"/>
                <w:color w:val="000000"/>
                <w:szCs w:val="21"/>
              </w:rPr>
              <w:t>月</w:t>
            </w:r>
          </w:p>
        </w:tc>
      </w:tr>
      <w:tr w14:paraId="5BF66714">
        <w:trPr>
          <w:cantSplit/>
          <w:trHeight w:val="1946" w:hRule="atLeast"/>
        </w:trPr>
        <w:tc>
          <w:tcPr>
            <w:tcW w:w="1794" w:type="dxa"/>
            <w:vAlign w:val="center"/>
          </w:tcPr>
          <w:p w14:paraId="032945D6">
            <w:pPr>
              <w:ind w:left="141" w:leftChars="67" w:right="176" w:rightChars="84"/>
              <w:rPr>
                <w:rFonts w:ascii="宋体" w:hAnsi="宋体"/>
                <w:color w:val="000000"/>
                <w:szCs w:val="21"/>
              </w:rPr>
            </w:pPr>
            <w:r>
              <w:rPr>
                <w:rFonts w:ascii="宋体" w:hAnsi="宋体"/>
                <w:color w:val="000000"/>
                <w:szCs w:val="21"/>
              </w:rPr>
              <w:t xml:space="preserve">1.6 </w:t>
            </w:r>
            <w:r>
              <w:rPr>
                <w:rFonts w:hint="eastAsia" w:ascii="宋体" w:hAnsi="宋体"/>
                <w:color w:val="000000"/>
                <w:szCs w:val="21"/>
              </w:rPr>
              <w:t>标准起草</w:t>
            </w:r>
            <w:r>
              <w:rPr>
                <w:rFonts w:ascii="宋体" w:hAnsi="宋体"/>
                <w:color w:val="000000"/>
                <w:szCs w:val="21"/>
              </w:rPr>
              <w:t>单位</w:t>
            </w:r>
          </w:p>
        </w:tc>
        <w:tc>
          <w:tcPr>
            <w:tcW w:w="7590" w:type="dxa"/>
            <w:gridSpan w:val="5"/>
            <w:vAlign w:val="center"/>
          </w:tcPr>
          <w:p w14:paraId="79D5437B">
            <w:pPr>
              <w:rPr>
                <w:rFonts w:ascii="宋体" w:hAnsi="宋体"/>
                <w:color w:val="000000"/>
                <w:szCs w:val="21"/>
              </w:rPr>
            </w:pPr>
            <w:r>
              <w:rPr>
                <w:rFonts w:hint="eastAsia" w:ascii="宋体" w:hAnsi="宋体"/>
                <w:color w:val="000000"/>
                <w:szCs w:val="21"/>
              </w:rPr>
              <w:t>中国网络安全审查认证和市场监管大数据中心、成都市标准化研究院（成都市WTO/TBT咨询中心、成都市市场监督管理数据应用中心）、福建省市场监督管理局行政服务中心、中国检验检疫科学研究院粤港澳大湾区研究院、成都市特种设备检验检测研究院(成都市特种设备应急处置中心)、广西壮族自治区特种设备检验研究院、北京三维天地科技股份有限公司</w:t>
            </w:r>
          </w:p>
        </w:tc>
      </w:tr>
      <w:tr w14:paraId="0B47D6C9">
        <w:trPr>
          <w:cantSplit/>
          <w:trHeight w:val="1306" w:hRule="atLeast"/>
        </w:trPr>
        <w:tc>
          <w:tcPr>
            <w:tcW w:w="1794" w:type="dxa"/>
            <w:vAlign w:val="center"/>
          </w:tcPr>
          <w:p w14:paraId="4AD324AF">
            <w:pPr>
              <w:ind w:left="141" w:leftChars="67" w:right="176" w:rightChars="84"/>
              <w:rPr>
                <w:rFonts w:ascii="宋体" w:hAnsi="宋体"/>
                <w:color w:val="000000"/>
                <w:szCs w:val="21"/>
              </w:rPr>
            </w:pPr>
            <w:r>
              <w:rPr>
                <w:rFonts w:ascii="宋体" w:hAnsi="宋体"/>
                <w:color w:val="000000"/>
                <w:szCs w:val="21"/>
              </w:rPr>
              <w:t>1.7 起草</w:t>
            </w:r>
            <w:r>
              <w:rPr>
                <w:rFonts w:hint="eastAsia" w:ascii="宋体" w:hAnsi="宋体"/>
                <w:color w:val="000000"/>
                <w:szCs w:val="21"/>
              </w:rPr>
              <w:t>组成员</w:t>
            </w:r>
          </w:p>
        </w:tc>
        <w:tc>
          <w:tcPr>
            <w:tcW w:w="7590" w:type="dxa"/>
            <w:gridSpan w:val="5"/>
            <w:vAlign w:val="center"/>
          </w:tcPr>
          <w:p w14:paraId="7B331822">
            <w:pPr>
              <w:rPr>
                <w:rFonts w:ascii="宋体" w:hAnsi="宋体"/>
                <w:color w:val="000000"/>
                <w:szCs w:val="21"/>
              </w:rPr>
            </w:pPr>
            <w:r>
              <w:rPr>
                <w:rFonts w:hint="eastAsia" w:ascii="宋体" w:hAnsi="宋体"/>
                <w:color w:val="000000"/>
                <w:szCs w:val="21"/>
              </w:rPr>
              <w:t>张剑、张曈、徐侃、杨帅、李茂春、刘淼、王云帆、陈娜娜、冯攀、孙磊、</w:t>
            </w:r>
            <w:bookmarkStart w:id="0" w:name="OLE_LINK61"/>
            <w:bookmarkStart w:id="1" w:name="OLE_LINK60"/>
            <w:r>
              <w:rPr>
                <w:rFonts w:hint="eastAsia" w:ascii="宋体" w:hAnsi="宋体"/>
                <w:color w:val="000000"/>
                <w:szCs w:val="21"/>
              </w:rPr>
              <w:t>许志伟</w:t>
            </w:r>
            <w:bookmarkEnd w:id="0"/>
            <w:bookmarkEnd w:id="1"/>
            <w:r>
              <w:rPr>
                <w:rFonts w:hint="eastAsia" w:ascii="宋体" w:hAnsi="宋体"/>
                <w:color w:val="000000"/>
                <w:szCs w:val="21"/>
              </w:rPr>
              <w:t>、宫秀武</w:t>
            </w:r>
          </w:p>
        </w:tc>
      </w:tr>
      <w:tr w14:paraId="148FB4AF">
        <w:trPr>
          <w:cantSplit/>
          <w:trHeight w:val="1379" w:hRule="exact"/>
        </w:trPr>
        <w:tc>
          <w:tcPr>
            <w:tcW w:w="1794" w:type="dxa"/>
            <w:tcBorders>
              <w:bottom w:val="single" w:color="auto" w:sz="4" w:space="0"/>
            </w:tcBorders>
            <w:vAlign w:val="center"/>
          </w:tcPr>
          <w:p w14:paraId="547E21AB">
            <w:pPr>
              <w:ind w:left="141" w:leftChars="67" w:right="176" w:rightChars="84"/>
              <w:rPr>
                <w:rFonts w:ascii="宋体" w:hAnsi="宋体"/>
                <w:color w:val="000000"/>
                <w:szCs w:val="21"/>
              </w:rPr>
            </w:pPr>
            <w:r>
              <w:rPr>
                <w:rFonts w:ascii="宋体" w:hAnsi="宋体"/>
                <w:color w:val="000000"/>
                <w:szCs w:val="21"/>
              </w:rPr>
              <w:t>1.</w:t>
            </w:r>
            <w:r>
              <w:rPr>
                <w:rFonts w:hint="eastAsia" w:ascii="宋体" w:hAnsi="宋体"/>
                <w:color w:val="000000"/>
                <w:szCs w:val="21"/>
              </w:rPr>
              <w:t>8标准体系表内编号</w:t>
            </w:r>
          </w:p>
        </w:tc>
        <w:tc>
          <w:tcPr>
            <w:tcW w:w="7590" w:type="dxa"/>
            <w:gridSpan w:val="5"/>
            <w:tcBorders>
              <w:bottom w:val="single" w:color="auto" w:sz="4" w:space="0"/>
            </w:tcBorders>
            <w:vAlign w:val="center"/>
          </w:tcPr>
          <w:p w14:paraId="73612C71">
            <w:pPr>
              <w:rPr>
                <w:rFonts w:ascii="宋体" w:hAnsi="宋体"/>
                <w:color w:val="000000"/>
                <w:szCs w:val="21"/>
              </w:rPr>
            </w:pPr>
            <w:r>
              <w:rPr>
                <w:rFonts w:hint="eastAsia" w:ascii="宋体" w:hAnsi="宋体"/>
                <w:color w:val="000000"/>
                <w:szCs w:val="21"/>
              </w:rPr>
              <w:t>无</w:t>
            </w:r>
          </w:p>
        </w:tc>
      </w:tr>
      <w:tr w14:paraId="1DD9A2C3">
        <w:trPr>
          <w:cantSplit/>
          <w:trHeight w:val="1570" w:hRule="exact"/>
        </w:trPr>
        <w:tc>
          <w:tcPr>
            <w:tcW w:w="1794" w:type="dxa"/>
            <w:tcBorders>
              <w:top w:val="single" w:color="auto" w:sz="4" w:space="0"/>
              <w:left w:val="single" w:color="auto" w:sz="4" w:space="0"/>
              <w:bottom w:val="single" w:color="auto" w:sz="4" w:space="0"/>
              <w:right w:val="single" w:color="auto" w:sz="4" w:space="0"/>
            </w:tcBorders>
            <w:vAlign w:val="center"/>
          </w:tcPr>
          <w:p w14:paraId="2CDC4E43">
            <w:pPr>
              <w:ind w:left="141" w:leftChars="67" w:right="176" w:rightChars="84"/>
              <w:rPr>
                <w:rFonts w:ascii="宋体" w:hAnsi="宋体"/>
                <w:color w:val="000000"/>
                <w:szCs w:val="21"/>
              </w:rPr>
            </w:pPr>
            <w:r>
              <w:rPr>
                <w:rFonts w:ascii="宋体" w:hAnsi="宋体"/>
                <w:color w:val="000000"/>
                <w:szCs w:val="21"/>
              </w:rPr>
              <w:t>1.</w:t>
            </w:r>
            <w:r>
              <w:rPr>
                <w:rFonts w:hint="eastAsia" w:ascii="宋体" w:hAnsi="宋体"/>
                <w:color w:val="000000"/>
                <w:szCs w:val="21"/>
              </w:rPr>
              <w:t>9</w:t>
            </w:r>
            <w:r>
              <w:rPr>
                <w:rFonts w:ascii="宋体" w:hAnsi="宋体"/>
                <w:color w:val="000000"/>
                <w:szCs w:val="21"/>
              </w:rPr>
              <w:t>调整情况</w:t>
            </w:r>
          </w:p>
        </w:tc>
        <w:tc>
          <w:tcPr>
            <w:tcW w:w="7590" w:type="dxa"/>
            <w:gridSpan w:val="5"/>
            <w:tcBorders>
              <w:top w:val="single" w:color="auto" w:sz="4" w:space="0"/>
              <w:left w:val="single" w:color="auto" w:sz="4" w:space="0"/>
              <w:bottom w:val="single" w:color="auto" w:sz="4" w:space="0"/>
              <w:right w:val="single" w:color="auto" w:sz="4" w:space="0"/>
            </w:tcBorders>
            <w:vAlign w:val="center"/>
          </w:tcPr>
          <w:p w14:paraId="5CA72254">
            <w:pPr>
              <w:rPr>
                <w:rFonts w:ascii="宋体" w:hAnsi="宋体"/>
                <w:color w:val="000000"/>
                <w:szCs w:val="21"/>
              </w:rPr>
            </w:pPr>
            <w:r>
              <w:rPr>
                <w:rFonts w:hint="eastAsia" w:ascii="宋体" w:hAnsi="宋体"/>
                <w:color w:val="000000"/>
                <w:szCs w:val="21"/>
              </w:rPr>
              <w:t>无</w:t>
            </w:r>
          </w:p>
        </w:tc>
      </w:tr>
    </w:tbl>
    <w:p w14:paraId="4A0D01DC">
      <w:pPr>
        <w:rPr>
          <w:rFonts w:eastAsia="仿宋_GB2312"/>
          <w:b/>
          <w:color w:val="000000"/>
          <w:kern w:val="0"/>
          <w:sz w:val="32"/>
        </w:rPr>
      </w:pPr>
    </w:p>
    <w:tbl>
      <w:tblPr>
        <w:tblStyle w:val="38"/>
        <w:tblpPr w:leftFromText="180" w:rightFromText="180" w:vertAnchor="text" w:horzAnchor="margin" w:tblpXSpec="center" w:tblpY="169"/>
        <w:tblW w:w="9384"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794"/>
        <w:gridCol w:w="7590"/>
      </w:tblGrid>
      <w:tr w14:paraId="213E5B44">
        <w:trPr>
          <w:cantSplit/>
          <w:trHeight w:val="485" w:hRule="exact"/>
        </w:trPr>
        <w:tc>
          <w:tcPr>
            <w:tcW w:w="9384" w:type="dxa"/>
            <w:gridSpan w:val="2"/>
            <w:tcBorders>
              <w:top w:val="nil"/>
              <w:left w:val="nil"/>
              <w:bottom w:val="nil"/>
              <w:right w:val="nil"/>
            </w:tcBorders>
            <w:vAlign w:val="center"/>
          </w:tcPr>
          <w:p w14:paraId="2B63026E">
            <w:pPr>
              <w:rPr>
                <w:rFonts w:ascii="宋体" w:hAnsi="宋体"/>
                <w:b/>
                <w:color w:val="000000"/>
                <w:szCs w:val="21"/>
              </w:rPr>
            </w:pPr>
            <w:r>
              <w:rPr>
                <w:rFonts w:hint="eastAsia" w:ascii="宋体" w:hAnsi="宋体"/>
                <w:b/>
                <w:color w:val="000000"/>
                <w:szCs w:val="21"/>
              </w:rPr>
              <w:t>2、背景情况</w:t>
            </w:r>
          </w:p>
        </w:tc>
      </w:tr>
      <w:tr w14:paraId="36C22A4E">
        <w:trPr>
          <w:cantSplit/>
          <w:trHeight w:val="8994" w:hRule="atLeast"/>
        </w:trPr>
        <w:tc>
          <w:tcPr>
            <w:tcW w:w="1794" w:type="dxa"/>
            <w:tcBorders>
              <w:top w:val="single" w:color="auto" w:sz="4" w:space="0"/>
              <w:left w:val="single" w:color="auto" w:sz="4" w:space="0"/>
              <w:right w:val="single" w:color="auto" w:sz="4" w:space="0"/>
            </w:tcBorders>
            <w:vAlign w:val="center"/>
          </w:tcPr>
          <w:p w14:paraId="2F69660A">
            <w:pPr>
              <w:ind w:left="141" w:leftChars="67" w:right="36" w:rightChars="17"/>
              <w:rPr>
                <w:rFonts w:ascii="宋体" w:hAnsi="宋体"/>
                <w:color w:val="000000"/>
                <w:szCs w:val="21"/>
              </w:rPr>
            </w:pPr>
            <w:r>
              <w:rPr>
                <w:rFonts w:ascii="宋体" w:hAnsi="宋体"/>
                <w:color w:val="000000"/>
                <w:szCs w:val="21"/>
              </w:rPr>
              <w:t>2.1 目的、意义</w:t>
            </w:r>
          </w:p>
          <w:p w14:paraId="03AD6B88">
            <w:pPr>
              <w:ind w:left="141" w:leftChars="67" w:right="36" w:rightChars="17"/>
              <w:rPr>
                <w:rFonts w:ascii="宋体" w:hAnsi="宋体"/>
                <w:color w:val="000000"/>
                <w:szCs w:val="21"/>
              </w:rPr>
            </w:pPr>
            <w:r>
              <w:rPr>
                <w:rFonts w:hint="eastAsia" w:ascii="宋体" w:hAnsi="宋体"/>
                <w:color w:val="000000"/>
                <w:szCs w:val="21"/>
              </w:rPr>
              <w:t>（工作开展背景及要求）</w:t>
            </w:r>
          </w:p>
        </w:tc>
        <w:tc>
          <w:tcPr>
            <w:tcW w:w="7590" w:type="dxa"/>
            <w:tcBorders>
              <w:top w:val="single" w:color="auto" w:sz="4" w:space="0"/>
              <w:left w:val="single" w:color="auto" w:sz="4" w:space="0"/>
              <w:right w:val="single" w:color="auto" w:sz="4" w:space="0"/>
            </w:tcBorders>
            <w:vAlign w:val="center"/>
          </w:tcPr>
          <w:p w14:paraId="75C76D47">
            <w:pPr>
              <w:spacing w:line="360" w:lineRule="exact"/>
              <w:ind w:firstLine="420" w:firstLineChars="200"/>
              <w:rPr>
                <w:rFonts w:ascii="宋体" w:hAnsi="宋体" w:cs="Arial"/>
                <w:kern w:val="0"/>
              </w:rPr>
            </w:pPr>
            <w:r>
              <w:rPr>
                <w:rFonts w:ascii="宋体" w:hAnsi="宋体" w:cs="Arial"/>
                <w:kern w:val="0"/>
              </w:rPr>
              <w:t>《质量强国建设纲要》围绕质量治理现代化与质量基础设施能力提升，对检验检测机构数据分析应用作出顶层部署，强调运用大数据、人工智能等数字技术推进检验检测数字化转型，推动检验检测数据归集共享、规范治理与智能应用，强化质量安全风险监测、数据追溯与精准监管，提升检验检测服务效能与行业治理水平，为检验检测机构数据分析应用提供</w:t>
            </w:r>
            <w:r>
              <w:rPr>
                <w:rFonts w:ascii="宋体" w:hAnsi="宋体"/>
                <w:bCs/>
                <w:kern w:val="0"/>
              </w:rPr>
              <w:t>方向指引、战略定位与实施遵循</w:t>
            </w:r>
            <w:r>
              <w:rPr>
                <w:rFonts w:ascii="宋体" w:hAnsi="宋体" w:cs="Arial"/>
                <w:kern w:val="0"/>
              </w:rPr>
              <w:t>。</w:t>
            </w:r>
          </w:p>
          <w:p w14:paraId="060E6F5A">
            <w:pPr>
              <w:spacing w:line="360" w:lineRule="exact"/>
              <w:ind w:firstLine="420" w:firstLineChars="200"/>
              <w:rPr>
                <w:rFonts w:ascii="宋体" w:hAnsi="宋体" w:cs="Arial"/>
                <w:kern w:val="0"/>
              </w:rPr>
            </w:pPr>
            <w:r>
              <w:rPr>
                <w:rFonts w:ascii="宋体" w:hAnsi="宋体" w:cs="Arial"/>
                <w:kern w:val="0"/>
              </w:rPr>
              <w:t>《检验检测智慧监管能力提升攻坚行动方案》聚焦检验检测领域智慧监管建设，明确要求强化数据分析应用，推进检验检测数据归集共享与规范治理，构建机构风险监测、信用</w:t>
            </w:r>
            <w:r>
              <w:rPr>
                <w:rFonts w:hint="eastAsia" w:ascii="宋体" w:hAnsi="宋体" w:cs="Arial"/>
                <w:kern w:val="0"/>
              </w:rPr>
              <w:t>等级</w:t>
            </w:r>
            <w:r>
              <w:rPr>
                <w:rFonts w:ascii="宋体" w:hAnsi="宋体" w:cs="Arial"/>
                <w:kern w:val="0"/>
              </w:rPr>
              <w:t>、智能预警等应用模型，提升数据赋能精准监管、智能监管、高效监管水平，为检验检测机构数字化、智能化</w:t>
            </w:r>
            <w:r>
              <w:rPr>
                <w:rFonts w:hint="eastAsia" w:ascii="宋体" w:hAnsi="宋体" w:cs="Arial"/>
                <w:kern w:val="0"/>
              </w:rPr>
              <w:t>应用</w:t>
            </w:r>
            <w:r>
              <w:rPr>
                <w:rFonts w:ascii="宋体" w:hAnsi="宋体" w:cs="Arial"/>
                <w:kern w:val="0"/>
              </w:rPr>
              <w:t>提供数据支撑和技术指引。</w:t>
            </w:r>
          </w:p>
          <w:p w14:paraId="31CB7DC6">
            <w:pPr>
              <w:spacing w:line="360" w:lineRule="exact"/>
              <w:ind w:firstLine="420" w:firstLineChars="200"/>
              <w:rPr>
                <w:rFonts w:ascii="宋体" w:hAnsi="宋体" w:cs="Arial"/>
                <w:kern w:val="0"/>
              </w:rPr>
            </w:pPr>
            <w:r>
              <w:rPr>
                <w:rFonts w:ascii="宋体" w:hAnsi="宋体" w:cs="Arial"/>
                <w:kern w:val="0"/>
              </w:rPr>
              <w:t>制定《检验检测机构数据分析应用</w:t>
            </w:r>
            <w:r>
              <w:rPr>
                <w:rFonts w:hint="eastAsia" w:ascii="宋体" w:hAnsi="宋体" w:cs="Arial"/>
                <w:kern w:val="0"/>
              </w:rPr>
              <w:t>规范</w:t>
            </w:r>
            <w:r>
              <w:rPr>
                <w:rFonts w:ascii="宋体" w:hAnsi="宋体" w:cs="Arial"/>
                <w:kern w:val="0"/>
              </w:rPr>
              <w:t>》行业标准的核心目的，在于为检验检测行业数字化转型提供统一的技术规范与操作指引。当前，检验检测机构在业务开展中积累了大量数据，但对数据的深度分析、挖掘与应用能力参差不齐，缺乏统一的数据</w:t>
            </w:r>
            <w:r>
              <w:rPr>
                <w:rFonts w:hint="eastAsia" w:ascii="宋体" w:hAnsi="宋体" w:cs="Arial"/>
                <w:kern w:val="0"/>
              </w:rPr>
              <w:t>收集、处理和应用规范</w:t>
            </w:r>
            <w:r>
              <w:rPr>
                <w:rFonts w:ascii="宋体" w:hAnsi="宋体" w:cs="Arial"/>
                <w:kern w:val="0"/>
              </w:rPr>
              <w:t>。该标准旨在明确检验检测机构在检验检测全流程中的数据分析</w:t>
            </w:r>
            <w:r>
              <w:rPr>
                <w:rFonts w:hint="eastAsia" w:ascii="宋体" w:hAnsi="宋体" w:cs="Arial"/>
                <w:kern w:val="0"/>
              </w:rPr>
              <w:t>应用</w:t>
            </w:r>
            <w:r>
              <w:rPr>
                <w:rFonts w:ascii="宋体" w:hAnsi="宋体" w:cs="Arial"/>
                <w:kern w:val="0"/>
              </w:rPr>
              <w:t>，包括数据</w:t>
            </w:r>
            <w:r>
              <w:rPr>
                <w:rFonts w:hint="eastAsia" w:ascii="宋体" w:hAnsi="宋体" w:cs="Arial"/>
                <w:kern w:val="0"/>
              </w:rPr>
              <w:t>收集、数据存储、数据处理、数据分析、数据可视化、数据应用和数据安全</w:t>
            </w:r>
            <w:r>
              <w:rPr>
                <w:rFonts w:ascii="宋体" w:hAnsi="宋体" w:cs="Arial"/>
                <w:kern w:val="0"/>
              </w:rPr>
              <w:t>，从而提升数据分析结果的互认度和权威性，推动检验检测服务从“经验判断”向“数据驱动”的模式转变。</w:t>
            </w:r>
          </w:p>
          <w:p w14:paraId="2BBECD44">
            <w:pPr>
              <w:spacing w:line="360" w:lineRule="exact"/>
              <w:ind w:firstLine="420" w:firstLineChars="200"/>
              <w:rPr>
                <w:rFonts w:ascii="宋体" w:hAnsi="宋体"/>
                <w:color w:val="000000"/>
                <w:szCs w:val="21"/>
              </w:rPr>
            </w:pPr>
            <w:r>
              <w:rPr>
                <w:rFonts w:ascii="宋体" w:hAnsi="宋体" w:cs="Arial"/>
                <w:kern w:val="0"/>
              </w:rPr>
              <w:t>制定《检验检测机构数据分析应用</w:t>
            </w:r>
            <w:r>
              <w:rPr>
                <w:rFonts w:hint="eastAsia" w:ascii="宋体" w:hAnsi="宋体" w:cs="Arial"/>
                <w:kern w:val="0"/>
              </w:rPr>
              <w:t>规范</w:t>
            </w:r>
            <w:r>
              <w:rPr>
                <w:rFonts w:ascii="宋体" w:hAnsi="宋体" w:cs="Arial"/>
                <w:kern w:val="0"/>
              </w:rPr>
              <w:t>》行业标准，旨在破解当前检验检测领域数据格式不一、分析模型各异导致的“数据孤岛”难题，通过统一数据</w:t>
            </w:r>
            <w:r>
              <w:rPr>
                <w:rFonts w:hint="eastAsia" w:ascii="宋体" w:hAnsi="宋体" w:cs="Arial"/>
                <w:kern w:val="0"/>
              </w:rPr>
              <w:t>收集</w:t>
            </w:r>
            <w:r>
              <w:rPr>
                <w:rFonts w:ascii="宋体" w:hAnsi="宋体" w:cs="Arial"/>
                <w:kern w:val="0"/>
              </w:rPr>
              <w:t>、处理、挖掘及可视化的技术规范，为行业构建可互操作的数据底座；这不仅能够显著提升监管机构利用大数据进行风险预警和精准执法的能力，推动监管模式从“被动抽查”向“主动智慧治理”转型，还能赋能检测机构深度挖掘数据价值以优化质量控制和服务创新，最终形成“标准引领、数据驱动、智慧监管”的高质量发展新生态。</w:t>
            </w:r>
          </w:p>
        </w:tc>
      </w:tr>
      <w:tr w14:paraId="24C7A92D">
        <w:trPr>
          <w:cantSplit/>
          <w:trHeight w:val="2994" w:hRule="exact"/>
        </w:trPr>
        <w:tc>
          <w:tcPr>
            <w:tcW w:w="1794" w:type="dxa"/>
            <w:tcBorders>
              <w:top w:val="single" w:color="auto" w:sz="4" w:space="0"/>
              <w:left w:val="single" w:color="auto" w:sz="4" w:space="0"/>
              <w:bottom w:val="single" w:color="auto" w:sz="4" w:space="0"/>
              <w:right w:val="single" w:color="auto" w:sz="4" w:space="0"/>
            </w:tcBorders>
            <w:vAlign w:val="center"/>
          </w:tcPr>
          <w:p w14:paraId="16028837">
            <w:pPr>
              <w:ind w:left="141" w:leftChars="67" w:right="36" w:rightChars="17"/>
              <w:rPr>
                <w:rFonts w:ascii="宋体" w:hAnsi="宋体"/>
                <w:color w:val="000000"/>
                <w:szCs w:val="21"/>
              </w:rPr>
            </w:pPr>
            <w:r>
              <w:rPr>
                <w:rFonts w:ascii="宋体" w:hAnsi="宋体"/>
                <w:color w:val="000000"/>
                <w:szCs w:val="21"/>
              </w:rPr>
              <w:t>2.2 与国内外相关标准、文献的关系</w:t>
            </w:r>
          </w:p>
        </w:tc>
        <w:tc>
          <w:tcPr>
            <w:tcW w:w="7590" w:type="dxa"/>
            <w:tcBorders>
              <w:top w:val="single" w:color="auto" w:sz="4" w:space="0"/>
              <w:left w:val="single" w:color="auto" w:sz="4" w:space="0"/>
              <w:bottom w:val="single" w:color="auto" w:sz="4" w:space="0"/>
              <w:right w:val="single" w:color="auto" w:sz="4" w:space="0"/>
            </w:tcBorders>
            <w:vAlign w:val="center"/>
          </w:tcPr>
          <w:p w14:paraId="6CC7285F">
            <w:pPr>
              <w:ind w:firstLine="420" w:firstLineChars="200"/>
              <w:rPr>
                <w:rFonts w:ascii="宋体" w:hAnsi="宋体"/>
                <w:color w:val="000000"/>
                <w:szCs w:val="21"/>
              </w:rPr>
            </w:pPr>
            <w:r>
              <w:rPr>
                <w:rFonts w:hint="eastAsia" w:ascii="宋体" w:hAnsi="宋体" w:cs="Arial"/>
                <w:kern w:val="0"/>
              </w:rPr>
              <w:t>在检验检测机构领域暂无数据管理标准，目前检验检测机构领域发布的国家标准有</w:t>
            </w:r>
            <w:r>
              <w:rPr>
                <w:rFonts w:ascii="宋体" w:hAnsi="宋体" w:cs="Arial"/>
                <w:kern w:val="0"/>
              </w:rPr>
              <w:t>GB/T 40149-2021</w:t>
            </w:r>
            <w:r>
              <w:rPr>
                <w:rFonts w:hint="eastAsia" w:ascii="宋体" w:hAnsi="宋体" w:cs="Arial"/>
                <w:kern w:val="0"/>
              </w:rPr>
              <w:t>《</w:t>
            </w:r>
            <w:r>
              <w:rPr>
                <w:rFonts w:ascii="宋体" w:hAnsi="宋体" w:cs="Arial"/>
                <w:kern w:val="0"/>
              </w:rPr>
              <w:t>检验检测机构从业人员信用档案建设规范</w:t>
            </w:r>
            <w:r>
              <w:rPr>
                <w:rFonts w:hint="eastAsia" w:ascii="宋体" w:hAnsi="宋体" w:cs="Arial"/>
                <w:kern w:val="0"/>
              </w:rPr>
              <w:t>》、</w:t>
            </w:r>
            <w:r>
              <w:rPr>
                <w:rFonts w:ascii="宋体" w:hAnsi="宋体" w:cs="Arial"/>
                <w:kern w:val="0"/>
              </w:rPr>
              <w:t>GB/T 39663-2021</w:t>
            </w:r>
            <w:r>
              <w:rPr>
                <w:rFonts w:hint="eastAsia" w:ascii="宋体" w:hAnsi="宋体" w:cs="Arial"/>
                <w:kern w:val="0"/>
              </w:rPr>
              <w:t>《</w:t>
            </w:r>
            <w:r>
              <w:rPr>
                <w:rFonts w:ascii="宋体" w:hAnsi="宋体" w:cs="Arial"/>
                <w:kern w:val="0"/>
              </w:rPr>
              <w:t>检验检测机构诚信报告编制规范</w:t>
            </w:r>
            <w:r>
              <w:rPr>
                <w:rFonts w:hint="eastAsia" w:ascii="宋体" w:hAnsi="宋体" w:cs="Arial"/>
                <w:kern w:val="0"/>
              </w:rPr>
              <w:t>》、</w:t>
            </w:r>
            <w:r>
              <w:rPr>
                <w:rFonts w:ascii="宋体" w:hAnsi="宋体" w:cs="Arial"/>
                <w:kern w:val="0"/>
              </w:rPr>
              <w:t>GB/T 31880-2015</w:t>
            </w:r>
            <w:r>
              <w:rPr>
                <w:rFonts w:hint="eastAsia" w:ascii="宋体" w:hAnsi="宋体" w:cs="Arial"/>
                <w:kern w:val="0"/>
              </w:rPr>
              <w:t>《</w:t>
            </w:r>
            <w:r>
              <w:rPr>
                <w:rFonts w:ascii="宋体" w:hAnsi="宋体" w:cs="Arial"/>
                <w:kern w:val="0"/>
              </w:rPr>
              <w:t>检验检测机构诚信基本要求</w:t>
            </w:r>
            <w:r>
              <w:rPr>
                <w:rFonts w:hint="eastAsia" w:ascii="宋体" w:hAnsi="宋体" w:cs="Arial"/>
                <w:kern w:val="0"/>
              </w:rPr>
              <w:t>》。在数据安全方面发布的国家标准有</w:t>
            </w:r>
            <w:bookmarkStart w:id="2" w:name="OLE_LINK9"/>
            <w:bookmarkStart w:id="3" w:name="OLE_LINK8"/>
            <w:r>
              <w:rPr>
                <w:rFonts w:ascii="宋体" w:hAnsi="宋体" w:cs="Arial"/>
                <w:kern w:val="0"/>
              </w:rPr>
              <w:t>GB/T 22239</w:t>
            </w:r>
            <w:bookmarkEnd w:id="2"/>
            <w:bookmarkEnd w:id="3"/>
            <w:r>
              <w:rPr>
                <w:rFonts w:ascii="宋体" w:hAnsi="宋体" w:cs="Arial"/>
                <w:kern w:val="0"/>
              </w:rPr>
              <w:t xml:space="preserve"> </w:t>
            </w:r>
            <w:r>
              <w:rPr>
                <w:rFonts w:hint="eastAsia" w:ascii="宋体" w:hAnsi="宋体" w:cs="Arial"/>
                <w:kern w:val="0"/>
              </w:rPr>
              <w:t>《</w:t>
            </w:r>
            <w:r>
              <w:rPr>
                <w:rFonts w:ascii="宋体" w:hAnsi="宋体" w:cs="Arial"/>
                <w:kern w:val="0"/>
              </w:rPr>
              <w:t>信息安全技术 网络安全等级保护基本要求</w:t>
            </w:r>
            <w:r>
              <w:rPr>
                <w:rFonts w:hint="eastAsia" w:ascii="宋体" w:hAnsi="宋体" w:cs="Arial"/>
                <w:kern w:val="0"/>
              </w:rPr>
              <w:t>》、</w:t>
            </w:r>
            <w:r>
              <w:rPr>
                <w:rFonts w:ascii="宋体" w:hAnsi="宋体" w:cs="Arial"/>
                <w:kern w:val="0"/>
              </w:rPr>
              <w:t>GB/T 34960.5</w:t>
            </w:r>
            <w:r>
              <w:rPr>
                <w:rFonts w:hint="eastAsia" w:ascii="宋体" w:hAnsi="宋体" w:cs="Arial"/>
                <w:kern w:val="0"/>
              </w:rPr>
              <w:t xml:space="preserve"> 《</w:t>
            </w:r>
            <w:r>
              <w:rPr>
                <w:rFonts w:ascii="宋体" w:hAnsi="宋体" w:cs="Arial"/>
                <w:kern w:val="0"/>
              </w:rPr>
              <w:t>信息技术服务 治理 第5部分：数据治理规范</w:t>
            </w:r>
            <w:r>
              <w:rPr>
                <w:rFonts w:hint="eastAsia" w:ascii="宋体" w:hAnsi="宋体" w:cs="Arial"/>
                <w:kern w:val="0"/>
              </w:rPr>
              <w:t>》、</w:t>
            </w:r>
            <w:bookmarkStart w:id="4" w:name="OLE_LINK7"/>
            <w:bookmarkStart w:id="5" w:name="OLE_LINK6"/>
            <w:r>
              <w:rPr>
                <w:rFonts w:ascii="宋体" w:hAnsi="宋体" w:cs="Arial"/>
                <w:kern w:val="0"/>
              </w:rPr>
              <w:t>GB/T 35273</w:t>
            </w:r>
            <w:bookmarkEnd w:id="4"/>
            <w:bookmarkEnd w:id="5"/>
            <w:r>
              <w:rPr>
                <w:rFonts w:ascii="宋体" w:hAnsi="宋体" w:cs="Arial"/>
                <w:kern w:val="0"/>
              </w:rPr>
              <w:t xml:space="preserve"> </w:t>
            </w:r>
            <w:r>
              <w:rPr>
                <w:rFonts w:hint="eastAsia" w:ascii="宋体" w:hAnsi="宋体" w:cs="Arial"/>
                <w:kern w:val="0"/>
              </w:rPr>
              <w:t>《</w:t>
            </w:r>
            <w:r>
              <w:rPr>
                <w:rFonts w:ascii="宋体" w:hAnsi="宋体" w:cs="Arial"/>
                <w:kern w:val="0"/>
              </w:rPr>
              <w:t>信息安全技术 个人信息安全规范</w:t>
            </w:r>
            <w:r>
              <w:rPr>
                <w:rFonts w:hint="eastAsia" w:ascii="宋体" w:hAnsi="宋体" w:cs="Arial"/>
                <w:kern w:val="0"/>
              </w:rPr>
              <w:t>》、</w:t>
            </w:r>
            <w:bookmarkStart w:id="6" w:name="OLE_LINK10"/>
            <w:bookmarkStart w:id="7" w:name="OLE_LINK11"/>
            <w:r>
              <w:rPr>
                <w:rFonts w:hint="eastAsia" w:ascii="宋体" w:hAnsi="宋体" w:cs="Arial"/>
                <w:kern w:val="0"/>
              </w:rPr>
              <w:t>GB/T 35295</w:t>
            </w:r>
            <w:r>
              <w:rPr>
                <w:rFonts w:ascii="宋体" w:hAnsi="宋体" w:cs="Arial"/>
                <w:kern w:val="0"/>
              </w:rPr>
              <w:t xml:space="preserve"> </w:t>
            </w:r>
            <w:r>
              <w:rPr>
                <w:rFonts w:hint="eastAsia" w:ascii="宋体" w:hAnsi="宋体" w:cs="Arial"/>
                <w:kern w:val="0"/>
              </w:rPr>
              <w:t>《</w:t>
            </w:r>
            <w:r>
              <w:rPr>
                <w:rFonts w:ascii="宋体" w:hAnsi="宋体" w:cs="Arial"/>
                <w:kern w:val="0"/>
              </w:rPr>
              <w:t>信息技术 大数据 术语</w:t>
            </w:r>
            <w:r>
              <w:rPr>
                <w:rFonts w:hint="eastAsia" w:ascii="宋体" w:hAnsi="宋体" w:cs="Arial"/>
                <w:kern w:val="0"/>
              </w:rPr>
              <w:t>》、</w:t>
            </w:r>
            <w:r>
              <w:rPr>
                <w:rFonts w:ascii="宋体" w:hAnsi="宋体" w:cs="Arial"/>
                <w:kern w:val="0"/>
              </w:rPr>
              <w:t>GB/T 37973</w:t>
            </w:r>
            <w:bookmarkEnd w:id="6"/>
            <w:bookmarkEnd w:id="7"/>
            <w:r>
              <w:rPr>
                <w:rFonts w:hint="eastAsia" w:ascii="宋体" w:hAnsi="宋体" w:cs="Arial"/>
                <w:kern w:val="0"/>
              </w:rPr>
              <w:t xml:space="preserve"> 《</w:t>
            </w:r>
            <w:r>
              <w:rPr>
                <w:rFonts w:ascii="宋体" w:hAnsi="宋体" w:cs="Arial"/>
                <w:kern w:val="0"/>
              </w:rPr>
              <w:t>信息安全技术 大数据安全管理指南</w:t>
            </w:r>
            <w:r>
              <w:rPr>
                <w:rFonts w:hint="eastAsia" w:ascii="宋体" w:hAnsi="宋体" w:cs="Arial"/>
                <w:kern w:val="0"/>
              </w:rPr>
              <w:t>》。</w:t>
            </w:r>
          </w:p>
        </w:tc>
      </w:tr>
    </w:tbl>
    <w:p w14:paraId="47014835">
      <w:pPr>
        <w:rPr>
          <w:rFonts w:eastAsia="仿宋_GB2312"/>
          <w:b/>
          <w:color w:val="000000"/>
          <w:kern w:val="0"/>
          <w:sz w:val="32"/>
        </w:rPr>
      </w:pPr>
    </w:p>
    <w:tbl>
      <w:tblPr>
        <w:tblStyle w:val="38"/>
        <w:tblpPr w:leftFromText="180" w:rightFromText="180" w:vertAnchor="text" w:horzAnchor="margin" w:tblpXSpec="center" w:tblpY="169"/>
        <w:tblW w:w="942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970"/>
        <w:gridCol w:w="7458"/>
      </w:tblGrid>
      <w:tr w14:paraId="4EBDA08D">
        <w:trPr>
          <w:cantSplit/>
          <w:trHeight w:val="302" w:hRule="exact"/>
        </w:trPr>
        <w:tc>
          <w:tcPr>
            <w:tcW w:w="9428" w:type="dxa"/>
            <w:gridSpan w:val="2"/>
            <w:tcBorders>
              <w:top w:val="nil"/>
              <w:left w:val="nil"/>
              <w:bottom w:val="nil"/>
              <w:right w:val="nil"/>
            </w:tcBorders>
            <w:vAlign w:val="center"/>
          </w:tcPr>
          <w:p w14:paraId="12F02480">
            <w:pPr>
              <w:rPr>
                <w:rFonts w:ascii="宋体" w:hAnsi="宋体"/>
                <w:b/>
                <w:color w:val="000000"/>
                <w:szCs w:val="21"/>
              </w:rPr>
            </w:pPr>
            <w:r>
              <w:rPr>
                <w:rFonts w:hint="eastAsia" w:ascii="宋体" w:hAnsi="宋体"/>
                <w:b/>
                <w:color w:val="000000"/>
                <w:szCs w:val="21"/>
              </w:rPr>
              <w:t>3  编制过程</w:t>
            </w:r>
          </w:p>
          <w:p w14:paraId="1638DD92">
            <w:pPr>
              <w:rPr>
                <w:rFonts w:ascii="宋体" w:hAnsi="宋体"/>
                <w:b/>
                <w:color w:val="000000"/>
                <w:szCs w:val="21"/>
              </w:rPr>
            </w:pPr>
          </w:p>
          <w:p w14:paraId="7837477E">
            <w:pPr>
              <w:rPr>
                <w:rFonts w:ascii="宋体" w:hAnsi="宋体"/>
                <w:b/>
                <w:color w:val="000000"/>
                <w:szCs w:val="21"/>
              </w:rPr>
            </w:pPr>
          </w:p>
          <w:p w14:paraId="6210EA8F">
            <w:pPr>
              <w:rPr>
                <w:rFonts w:ascii="宋体" w:hAnsi="宋体"/>
                <w:b/>
                <w:color w:val="000000"/>
                <w:szCs w:val="21"/>
              </w:rPr>
            </w:pPr>
          </w:p>
        </w:tc>
      </w:tr>
      <w:tr w14:paraId="1CE4E753">
        <w:trPr>
          <w:cantSplit/>
          <w:trHeight w:val="1551" w:hRule="atLeast"/>
        </w:trPr>
        <w:tc>
          <w:tcPr>
            <w:tcW w:w="1970" w:type="dxa"/>
            <w:tcBorders>
              <w:top w:val="single" w:color="auto" w:sz="4" w:space="0"/>
              <w:bottom w:val="single" w:color="auto" w:sz="4" w:space="0"/>
            </w:tcBorders>
            <w:vAlign w:val="center"/>
          </w:tcPr>
          <w:p w14:paraId="103371C9">
            <w:pPr>
              <w:ind w:left="141" w:leftChars="67" w:right="176" w:rightChars="84"/>
              <w:rPr>
                <w:rFonts w:ascii="宋体" w:hAnsi="宋体"/>
                <w:color w:val="000000"/>
                <w:szCs w:val="21"/>
              </w:rPr>
            </w:pPr>
            <w:r>
              <w:rPr>
                <w:rFonts w:ascii="宋体" w:hAnsi="宋体"/>
                <w:color w:val="000000"/>
                <w:szCs w:val="21"/>
              </w:rPr>
              <w:t>3.</w:t>
            </w:r>
            <w:r>
              <w:rPr>
                <w:rFonts w:hint="eastAsia" w:ascii="宋体" w:hAnsi="宋体"/>
                <w:color w:val="000000"/>
                <w:szCs w:val="21"/>
              </w:rPr>
              <w:t>1</w:t>
            </w:r>
            <w:r>
              <w:rPr>
                <w:rFonts w:ascii="宋体" w:hAnsi="宋体"/>
                <w:color w:val="000000"/>
                <w:szCs w:val="21"/>
              </w:rPr>
              <w:t xml:space="preserve"> 分工情况</w:t>
            </w:r>
          </w:p>
        </w:tc>
        <w:tc>
          <w:tcPr>
            <w:tcW w:w="7458" w:type="dxa"/>
            <w:tcBorders>
              <w:bottom w:val="single" w:color="auto" w:sz="4" w:space="0"/>
            </w:tcBorders>
            <w:vAlign w:val="center"/>
          </w:tcPr>
          <w:p w14:paraId="7C5231D1">
            <w:pPr>
              <w:rPr>
                <w:rFonts w:ascii="宋体" w:hAnsi="宋体"/>
                <w:color w:val="000000"/>
                <w:szCs w:val="21"/>
              </w:rPr>
            </w:pPr>
            <w:r>
              <w:rPr>
                <w:rFonts w:hint="eastAsia" w:ascii="宋体" w:hAnsi="宋体"/>
                <w:color w:val="000000"/>
                <w:szCs w:val="21"/>
              </w:rPr>
              <w:t>标准的整体架构由起草小组共同确定；</w:t>
            </w:r>
          </w:p>
          <w:p w14:paraId="271BBC2D">
            <w:pPr>
              <w:rPr>
                <w:rFonts w:ascii="宋体" w:hAnsi="宋体"/>
                <w:strike/>
                <w:color w:val="000000"/>
                <w:szCs w:val="21"/>
              </w:rPr>
            </w:pPr>
            <w:r>
              <w:rPr>
                <w:rFonts w:hint="eastAsia" w:ascii="宋体" w:hAnsi="宋体"/>
                <w:color w:val="000000"/>
                <w:szCs w:val="21"/>
              </w:rPr>
              <w:t>张剑、张曈负责协调整体工作、并参与标准编制；徐侃、杨帅、李茂春、刘淼、王云帆、陈娜娜、冯攀、孙磊、许志伟、宫秀武参与标准编制。</w:t>
            </w:r>
          </w:p>
        </w:tc>
      </w:tr>
      <w:tr w14:paraId="612C353D">
        <w:trPr>
          <w:cantSplit/>
          <w:trHeight w:val="1611" w:hRule="atLeast"/>
        </w:trPr>
        <w:tc>
          <w:tcPr>
            <w:tcW w:w="1970" w:type="dxa"/>
            <w:tcBorders>
              <w:top w:val="single" w:color="auto" w:sz="4" w:space="0"/>
              <w:bottom w:val="single" w:color="auto" w:sz="4" w:space="0"/>
            </w:tcBorders>
            <w:vAlign w:val="center"/>
          </w:tcPr>
          <w:p w14:paraId="4B90D076">
            <w:pPr>
              <w:ind w:left="141" w:leftChars="67" w:right="176" w:rightChars="84"/>
              <w:rPr>
                <w:rFonts w:ascii="宋体" w:hAnsi="宋体"/>
                <w:color w:val="000000"/>
                <w:szCs w:val="21"/>
              </w:rPr>
            </w:pPr>
            <w:r>
              <w:rPr>
                <w:rFonts w:ascii="宋体" w:hAnsi="宋体"/>
                <w:color w:val="000000"/>
                <w:szCs w:val="21"/>
              </w:rPr>
              <w:t>3.</w:t>
            </w:r>
            <w:r>
              <w:rPr>
                <w:rFonts w:hint="eastAsia" w:ascii="宋体" w:hAnsi="宋体"/>
                <w:color w:val="000000"/>
                <w:szCs w:val="21"/>
              </w:rPr>
              <w:t>2起草阶段</w:t>
            </w:r>
          </w:p>
        </w:tc>
        <w:tc>
          <w:tcPr>
            <w:tcW w:w="7458" w:type="dxa"/>
            <w:tcBorders>
              <w:bottom w:val="single" w:color="auto" w:sz="4" w:space="0"/>
            </w:tcBorders>
            <w:vAlign w:val="center"/>
          </w:tcPr>
          <w:p w14:paraId="2D4870F6">
            <w:pPr>
              <w:rPr>
                <w:rFonts w:asciiTheme="minorEastAsia" w:hAnsiTheme="minorEastAsia" w:eastAsiaTheme="minorEastAsia"/>
                <w:kern w:val="0"/>
                <w:szCs w:val="21"/>
                <w:lang w:val="zh-CN" w:bidi="zh-CN"/>
              </w:rPr>
            </w:pPr>
            <w:r>
              <w:rPr>
                <w:rFonts w:hint="eastAsia" w:asciiTheme="minorEastAsia" w:hAnsiTheme="minorEastAsia" w:eastAsiaTheme="minorEastAsia"/>
                <w:kern w:val="0"/>
                <w:szCs w:val="21"/>
                <w:lang w:val="zh-CN" w:bidi="zh-CN"/>
              </w:rPr>
              <w:t>2026年8月：立项，项目启动，召开项目启动会。</w:t>
            </w:r>
          </w:p>
          <w:p w14:paraId="614E95EC">
            <w:pPr>
              <w:rPr>
                <w:rFonts w:asciiTheme="minorEastAsia" w:hAnsiTheme="minorEastAsia" w:eastAsiaTheme="minorEastAsia"/>
                <w:kern w:val="0"/>
                <w:szCs w:val="21"/>
                <w:lang w:val="zh-CN" w:bidi="zh-CN"/>
              </w:rPr>
            </w:pPr>
            <w:r>
              <w:rPr>
                <w:rFonts w:hint="eastAsia" w:asciiTheme="minorEastAsia" w:hAnsiTheme="minorEastAsia" w:eastAsiaTheme="minorEastAsia"/>
                <w:kern w:val="0"/>
                <w:szCs w:val="21"/>
                <w:lang w:val="zh-CN" w:bidi="zh-CN"/>
              </w:rPr>
              <w:t>2026年9月:调研阶段，开展线上调研，搜集相关政策文件、相关国家标准和行业标准；开展线下调研，记录相关检验检测机构数据分析应用开展情况和需求。</w:t>
            </w:r>
          </w:p>
          <w:p w14:paraId="4583615A">
            <w:pPr>
              <w:rPr>
                <w:rFonts w:ascii="宋体" w:hAnsi="宋体"/>
                <w:color w:val="000000"/>
                <w:szCs w:val="21"/>
              </w:rPr>
            </w:pPr>
            <w:r>
              <w:rPr>
                <w:rFonts w:hint="eastAsia" w:ascii="宋体" w:hAnsi="宋体"/>
                <w:color w:val="000000"/>
                <w:szCs w:val="21"/>
              </w:rPr>
              <w:t>2026年10月:标准拟稿阶段，标准起草小组编制标准，形成标准草案稿，标准起草小组讨论修改形成征求意见稿。</w:t>
            </w:r>
          </w:p>
        </w:tc>
      </w:tr>
      <w:tr w14:paraId="24B9F763">
        <w:trPr>
          <w:cantSplit/>
          <w:trHeight w:val="1526" w:hRule="atLeast"/>
        </w:trPr>
        <w:tc>
          <w:tcPr>
            <w:tcW w:w="1970" w:type="dxa"/>
            <w:tcBorders>
              <w:top w:val="single" w:color="auto" w:sz="4" w:space="0"/>
              <w:bottom w:val="single" w:color="auto" w:sz="6" w:space="0"/>
            </w:tcBorders>
            <w:vAlign w:val="center"/>
          </w:tcPr>
          <w:p w14:paraId="0533B628">
            <w:pPr>
              <w:ind w:left="141" w:leftChars="67" w:right="176" w:rightChars="84"/>
              <w:rPr>
                <w:rFonts w:ascii="宋体" w:hAnsi="宋体"/>
                <w:color w:val="000000"/>
                <w:szCs w:val="21"/>
              </w:rPr>
            </w:pPr>
            <w:r>
              <w:rPr>
                <w:rFonts w:ascii="宋体" w:hAnsi="宋体"/>
                <w:color w:val="000000"/>
                <w:szCs w:val="21"/>
              </w:rPr>
              <w:t>3.</w:t>
            </w:r>
            <w:r>
              <w:rPr>
                <w:rFonts w:hint="eastAsia" w:ascii="宋体" w:hAnsi="宋体"/>
                <w:color w:val="000000"/>
                <w:szCs w:val="21"/>
              </w:rPr>
              <w:t>3征求意见阶段</w:t>
            </w:r>
          </w:p>
        </w:tc>
        <w:tc>
          <w:tcPr>
            <w:tcW w:w="7458" w:type="dxa"/>
            <w:tcBorders>
              <w:top w:val="single" w:color="auto" w:sz="4" w:space="0"/>
              <w:bottom w:val="single" w:color="auto" w:sz="6" w:space="0"/>
            </w:tcBorders>
            <w:vAlign w:val="center"/>
          </w:tcPr>
          <w:p w14:paraId="509BCFCE">
            <w:pPr>
              <w:rPr>
                <w:rFonts w:ascii="宋体" w:hAnsi="宋体"/>
                <w:color w:val="000000"/>
                <w:szCs w:val="21"/>
              </w:rPr>
            </w:pPr>
            <w:r>
              <w:rPr>
                <w:rFonts w:hint="eastAsia" w:ascii="宋体" w:hAnsi="宋体"/>
                <w:color w:val="000000"/>
                <w:szCs w:val="21"/>
              </w:rPr>
              <w:t>2026年1</w:t>
            </w:r>
            <w:r>
              <w:rPr>
                <w:rFonts w:hint="eastAsia" w:ascii="宋体" w:hAnsi="宋体"/>
                <w:color w:val="000000"/>
                <w:szCs w:val="21"/>
                <w:lang w:val="en-US" w:eastAsia="zh-CN"/>
              </w:rPr>
              <w:t>1</w:t>
            </w:r>
            <w:bookmarkStart w:id="29" w:name="_GoBack"/>
            <w:bookmarkEnd w:id="29"/>
            <w:r>
              <w:rPr>
                <w:rFonts w:hint="eastAsia" w:ascii="宋体" w:hAnsi="宋体"/>
                <w:color w:val="000000"/>
                <w:szCs w:val="21"/>
              </w:rPr>
              <w:t>月</w:t>
            </w:r>
          </w:p>
        </w:tc>
      </w:tr>
      <w:tr w14:paraId="0AA846D8">
        <w:trPr>
          <w:cantSplit/>
          <w:trHeight w:val="1814" w:hRule="atLeast"/>
        </w:trPr>
        <w:tc>
          <w:tcPr>
            <w:tcW w:w="1970" w:type="dxa"/>
            <w:tcBorders>
              <w:top w:val="single" w:color="auto" w:sz="6" w:space="0"/>
              <w:bottom w:val="single" w:color="auto" w:sz="6" w:space="0"/>
            </w:tcBorders>
            <w:vAlign w:val="center"/>
          </w:tcPr>
          <w:p w14:paraId="15FA69A4">
            <w:pPr>
              <w:ind w:left="141" w:leftChars="67" w:right="176" w:rightChars="84"/>
              <w:rPr>
                <w:rFonts w:ascii="宋体" w:hAnsi="宋体"/>
                <w:color w:val="000000"/>
                <w:szCs w:val="21"/>
              </w:rPr>
            </w:pPr>
            <w:r>
              <w:rPr>
                <w:rFonts w:ascii="宋体" w:hAnsi="宋体"/>
                <w:color w:val="000000"/>
                <w:szCs w:val="21"/>
              </w:rPr>
              <w:t>3.</w:t>
            </w:r>
            <w:r>
              <w:rPr>
                <w:rFonts w:hint="eastAsia" w:ascii="宋体" w:hAnsi="宋体"/>
                <w:color w:val="000000"/>
                <w:szCs w:val="21"/>
              </w:rPr>
              <w:t>4标准预审查阶段</w:t>
            </w:r>
          </w:p>
        </w:tc>
        <w:tc>
          <w:tcPr>
            <w:tcW w:w="7458" w:type="dxa"/>
            <w:tcBorders>
              <w:top w:val="single" w:color="auto" w:sz="6" w:space="0"/>
              <w:bottom w:val="single" w:color="auto" w:sz="6" w:space="0"/>
            </w:tcBorders>
            <w:vAlign w:val="center"/>
          </w:tcPr>
          <w:p w14:paraId="55AD26F0">
            <w:pPr>
              <w:jc w:val="left"/>
              <w:rPr>
                <w:rFonts w:ascii="宋体" w:hAnsi="宋体"/>
                <w:color w:val="000000"/>
                <w:szCs w:val="21"/>
              </w:rPr>
            </w:pPr>
            <w:r>
              <w:rPr>
                <w:rFonts w:hint="eastAsia" w:ascii="宋体" w:hAnsi="宋体"/>
                <w:color w:val="000000"/>
                <w:szCs w:val="21"/>
              </w:rPr>
              <w:t>未启动</w:t>
            </w:r>
          </w:p>
        </w:tc>
      </w:tr>
      <w:tr w14:paraId="299F0749">
        <w:trPr>
          <w:cantSplit/>
          <w:trHeight w:val="1439" w:hRule="atLeast"/>
        </w:trPr>
        <w:tc>
          <w:tcPr>
            <w:tcW w:w="1970" w:type="dxa"/>
            <w:tcBorders>
              <w:top w:val="single" w:color="auto" w:sz="6" w:space="0"/>
              <w:bottom w:val="single" w:color="auto" w:sz="6" w:space="0"/>
            </w:tcBorders>
            <w:vAlign w:val="center"/>
          </w:tcPr>
          <w:p w14:paraId="323ED069">
            <w:pPr>
              <w:ind w:left="141" w:leftChars="67" w:right="176" w:rightChars="84"/>
              <w:rPr>
                <w:rFonts w:ascii="宋体" w:hAnsi="宋体"/>
                <w:color w:val="000000"/>
                <w:szCs w:val="21"/>
              </w:rPr>
            </w:pPr>
            <w:r>
              <w:rPr>
                <w:rFonts w:hint="eastAsia" w:ascii="宋体" w:hAnsi="宋体"/>
                <w:color w:val="000000"/>
                <w:szCs w:val="21"/>
              </w:rPr>
              <w:t>3.5标准审查阶段</w:t>
            </w:r>
          </w:p>
        </w:tc>
        <w:tc>
          <w:tcPr>
            <w:tcW w:w="7458" w:type="dxa"/>
            <w:tcBorders>
              <w:top w:val="single" w:color="auto" w:sz="6" w:space="0"/>
              <w:bottom w:val="single" w:color="auto" w:sz="6" w:space="0"/>
            </w:tcBorders>
            <w:vAlign w:val="center"/>
          </w:tcPr>
          <w:p w14:paraId="370F5BD1">
            <w:pPr>
              <w:jc w:val="left"/>
              <w:rPr>
                <w:rFonts w:ascii="宋体" w:hAnsi="宋体"/>
                <w:color w:val="000000"/>
                <w:szCs w:val="21"/>
              </w:rPr>
            </w:pPr>
            <w:r>
              <w:rPr>
                <w:rFonts w:hint="eastAsia" w:ascii="宋体" w:hAnsi="宋体"/>
                <w:color w:val="000000"/>
                <w:szCs w:val="21"/>
              </w:rPr>
              <w:t>未启动</w:t>
            </w:r>
          </w:p>
        </w:tc>
      </w:tr>
    </w:tbl>
    <w:p w14:paraId="6BA17627">
      <w:pPr>
        <w:rPr>
          <w:rFonts w:eastAsia="仿宋_GB2312"/>
          <w:b/>
          <w:color w:val="000000"/>
          <w:kern w:val="0"/>
          <w:sz w:val="32"/>
        </w:rPr>
      </w:pPr>
      <w:r>
        <w:rPr>
          <w:rFonts w:eastAsia="仿宋_GB2312"/>
          <w:b/>
          <w:color w:val="000000"/>
          <w:kern w:val="0"/>
          <w:sz w:val="32"/>
        </w:rPr>
        <w:br w:type="page"/>
      </w:r>
    </w:p>
    <w:tbl>
      <w:tblPr>
        <w:tblStyle w:val="38"/>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28" w:type="dxa"/>
          <w:bottom w:w="0" w:type="dxa"/>
          <w:right w:w="28" w:type="dxa"/>
        </w:tblCellMar>
      </w:tblPr>
      <w:tblGrid>
        <w:gridCol w:w="9127"/>
      </w:tblGrid>
      <w:tr w14:paraId="3314B723">
        <w:trPr>
          <w:cantSplit/>
          <w:trHeight w:val="353" w:hRule="atLeast"/>
          <w:jc w:val="center"/>
        </w:trPr>
        <w:tc>
          <w:tcPr>
            <w:tcW w:w="0" w:type="auto"/>
            <w:tcBorders>
              <w:top w:val="nil"/>
              <w:left w:val="nil"/>
              <w:bottom w:val="single" w:color="auto" w:sz="4" w:space="0"/>
              <w:right w:val="nil"/>
            </w:tcBorders>
            <w:vAlign w:val="center"/>
          </w:tcPr>
          <w:p w14:paraId="31798ABE">
            <w:pPr>
              <w:rPr>
                <w:rFonts w:ascii="宋体" w:hAnsi="宋体"/>
                <w:b/>
                <w:color w:val="000000"/>
                <w:szCs w:val="21"/>
              </w:rPr>
            </w:pPr>
            <w:r>
              <w:rPr>
                <w:rFonts w:hint="eastAsia" w:ascii="宋体" w:hAnsi="宋体"/>
                <w:b/>
                <w:color w:val="000000"/>
                <w:szCs w:val="21"/>
              </w:rPr>
              <w:t>4  主要技术内容的确定</w:t>
            </w:r>
          </w:p>
        </w:tc>
      </w:tr>
      <w:tr w14:paraId="7FD98F38">
        <w:trPr>
          <w:jc w:val="center"/>
        </w:trPr>
        <w:tc>
          <w:tcPr>
            <w:tcW w:w="0" w:type="auto"/>
            <w:tcBorders>
              <w:top w:val="single" w:color="auto" w:sz="4" w:space="0"/>
              <w:left w:val="single" w:color="auto" w:sz="4" w:space="0"/>
              <w:bottom w:val="single" w:color="auto" w:sz="4" w:space="0"/>
              <w:right w:val="single" w:color="auto" w:sz="4" w:space="0"/>
            </w:tcBorders>
            <w:vAlign w:val="center"/>
          </w:tcPr>
          <w:p w14:paraId="679ED190">
            <w:pPr>
              <w:rPr>
                <w:rFonts w:ascii="宋体" w:hAnsi="宋体"/>
                <w:color w:val="000000"/>
                <w:szCs w:val="21"/>
              </w:rPr>
            </w:pPr>
            <w:r>
              <w:rPr>
                <w:rFonts w:hint="eastAsia" w:ascii="宋体" w:hAnsi="宋体"/>
                <w:color w:val="000000"/>
                <w:szCs w:val="21"/>
              </w:rPr>
              <w:t>本标准分为13章，主要内容如下：</w:t>
            </w:r>
          </w:p>
          <w:p w14:paraId="3DDF8FFC">
            <w:pPr>
              <w:pStyle w:val="130"/>
              <w:spacing w:line="360" w:lineRule="exact"/>
              <w:ind w:firstLine="420"/>
              <w:rPr>
                <w:rFonts w:ascii="Arial" w:hAnsi="Arial" w:cs="Arial"/>
                <w:szCs w:val="21"/>
              </w:rPr>
            </w:pPr>
            <w:r>
              <w:rPr>
                <w:rFonts w:hint="eastAsia" w:ascii="Arial" w:hAnsi="Arial" w:cs="Arial"/>
                <w:szCs w:val="21"/>
              </w:rPr>
              <w:t>（1）标准章节</w:t>
            </w:r>
          </w:p>
          <w:p w14:paraId="67CC758B">
            <w:pPr>
              <w:pStyle w:val="130"/>
              <w:spacing w:line="360" w:lineRule="exact"/>
              <w:ind w:firstLine="420"/>
              <w:rPr>
                <w:rFonts w:ascii="Arial" w:hAnsi="Arial" w:cs="Arial"/>
                <w:szCs w:val="21"/>
              </w:rPr>
            </w:pPr>
            <w:r>
              <w:rPr>
                <w:rFonts w:hint="eastAsia" w:ascii="Arial" w:hAnsi="Arial" w:cs="Arial"/>
                <w:szCs w:val="21"/>
              </w:rPr>
              <w:t>第一章 范围</w:t>
            </w:r>
          </w:p>
          <w:p w14:paraId="5A92F84A">
            <w:pPr>
              <w:pStyle w:val="130"/>
              <w:spacing w:line="360" w:lineRule="exact"/>
              <w:ind w:firstLine="420"/>
              <w:rPr>
                <w:rFonts w:ascii="Arial" w:hAnsi="Arial" w:cs="Arial"/>
                <w:szCs w:val="21"/>
              </w:rPr>
            </w:pPr>
            <w:r>
              <w:rPr>
                <w:rFonts w:hint="eastAsia" w:ascii="Arial" w:hAnsi="Arial" w:cs="Arial"/>
                <w:szCs w:val="21"/>
              </w:rPr>
              <w:t>第二章 规范性引用文件</w:t>
            </w:r>
          </w:p>
          <w:p w14:paraId="74089D76">
            <w:pPr>
              <w:pStyle w:val="130"/>
              <w:spacing w:line="360" w:lineRule="exact"/>
              <w:ind w:firstLine="420"/>
              <w:rPr>
                <w:rFonts w:ascii="Arial" w:hAnsi="Arial" w:cs="Arial"/>
                <w:szCs w:val="21"/>
              </w:rPr>
            </w:pPr>
            <w:r>
              <w:rPr>
                <w:rFonts w:hint="eastAsia" w:ascii="Arial" w:hAnsi="Arial" w:cs="Arial"/>
                <w:szCs w:val="21"/>
              </w:rPr>
              <w:t>第三章 术语和定义</w:t>
            </w:r>
          </w:p>
          <w:p w14:paraId="1A08AD46">
            <w:pPr>
              <w:pStyle w:val="130"/>
              <w:spacing w:line="360" w:lineRule="exact"/>
              <w:ind w:firstLine="420"/>
              <w:rPr>
                <w:rFonts w:ascii="Arial" w:hAnsi="Arial" w:cs="Arial"/>
                <w:szCs w:val="21"/>
              </w:rPr>
            </w:pPr>
            <w:r>
              <w:rPr>
                <w:rFonts w:hint="eastAsia" w:ascii="Arial" w:hAnsi="Arial" w:cs="Arial"/>
                <w:szCs w:val="21"/>
              </w:rPr>
              <w:t>第四章 缩略语</w:t>
            </w:r>
          </w:p>
          <w:p w14:paraId="7EAD8AF2">
            <w:pPr>
              <w:pStyle w:val="130"/>
              <w:spacing w:line="360" w:lineRule="exact"/>
              <w:ind w:firstLine="420"/>
              <w:rPr>
                <w:rFonts w:ascii="Arial" w:hAnsi="Arial" w:cs="Arial"/>
                <w:szCs w:val="21"/>
              </w:rPr>
            </w:pPr>
            <w:r>
              <w:rPr>
                <w:rFonts w:hint="eastAsia" w:ascii="Arial" w:hAnsi="Arial" w:cs="Arial"/>
                <w:szCs w:val="21"/>
              </w:rPr>
              <w:t>第五章</w:t>
            </w:r>
            <w:bookmarkStart w:id="8" w:name="_Toc223642419"/>
            <w:bookmarkStart w:id="9" w:name="_Toc223727450"/>
            <w:r>
              <w:rPr>
                <w:rFonts w:hint="eastAsia" w:ascii="Arial" w:hAnsi="Arial" w:cs="Arial"/>
                <w:szCs w:val="21"/>
              </w:rPr>
              <w:t xml:space="preserve"> 数据分析应用</w:t>
            </w:r>
            <w:bookmarkEnd w:id="8"/>
            <w:bookmarkEnd w:id="9"/>
            <w:r>
              <w:rPr>
                <w:rFonts w:hint="eastAsia" w:ascii="Arial" w:hAnsi="Arial" w:cs="Arial"/>
                <w:szCs w:val="21"/>
              </w:rPr>
              <w:t>总体架构</w:t>
            </w:r>
          </w:p>
          <w:p w14:paraId="113DE62B">
            <w:pPr>
              <w:pStyle w:val="130"/>
              <w:spacing w:line="360" w:lineRule="exact"/>
              <w:ind w:firstLine="420"/>
              <w:rPr>
                <w:rFonts w:ascii="Arial" w:hAnsi="Arial" w:cs="Arial"/>
                <w:szCs w:val="21"/>
              </w:rPr>
            </w:pPr>
            <w:r>
              <w:rPr>
                <w:rFonts w:hint="eastAsia" w:ascii="Arial" w:hAnsi="Arial" w:cs="Arial"/>
                <w:szCs w:val="21"/>
              </w:rPr>
              <w:t>第六章</w:t>
            </w:r>
            <w:bookmarkStart w:id="10" w:name="_Toc223727451"/>
            <w:bookmarkStart w:id="11" w:name="_Toc223012882"/>
            <w:bookmarkStart w:id="12" w:name="_Toc221971685"/>
            <w:bookmarkStart w:id="13" w:name="_Toc221974275"/>
            <w:bookmarkStart w:id="14" w:name="_Toc223642420"/>
            <w:bookmarkStart w:id="15" w:name="_Toc221975177"/>
            <w:r>
              <w:rPr>
                <w:rFonts w:hint="eastAsia" w:ascii="Arial" w:hAnsi="Arial" w:cs="Arial"/>
                <w:szCs w:val="21"/>
              </w:rPr>
              <w:t xml:space="preserve"> 数据收集要求</w:t>
            </w:r>
            <w:bookmarkEnd w:id="10"/>
            <w:bookmarkEnd w:id="11"/>
            <w:bookmarkEnd w:id="12"/>
            <w:bookmarkEnd w:id="13"/>
            <w:bookmarkEnd w:id="14"/>
            <w:bookmarkEnd w:id="15"/>
          </w:p>
          <w:p w14:paraId="591F75D0">
            <w:pPr>
              <w:pStyle w:val="130"/>
              <w:spacing w:line="360" w:lineRule="exact"/>
              <w:ind w:firstLine="420"/>
              <w:rPr>
                <w:rFonts w:ascii="Arial" w:hAnsi="Arial" w:cs="Arial"/>
                <w:szCs w:val="21"/>
              </w:rPr>
            </w:pPr>
            <w:r>
              <w:rPr>
                <w:rFonts w:hint="eastAsia" w:ascii="Arial" w:hAnsi="Arial" w:cs="Arial"/>
                <w:szCs w:val="21"/>
              </w:rPr>
              <w:t>第七章</w:t>
            </w:r>
            <w:bookmarkStart w:id="16" w:name="_Toc221974276"/>
            <w:bookmarkStart w:id="17" w:name="_Toc221975178"/>
            <w:bookmarkStart w:id="18" w:name="_Toc221971686"/>
            <w:bookmarkStart w:id="19" w:name="_Toc223012883"/>
            <w:bookmarkStart w:id="20" w:name="_Toc223642421"/>
            <w:bookmarkStart w:id="21" w:name="_Toc223727452"/>
            <w:r>
              <w:rPr>
                <w:rFonts w:hint="eastAsia" w:ascii="Arial" w:hAnsi="Arial" w:cs="Arial"/>
                <w:szCs w:val="21"/>
              </w:rPr>
              <w:t xml:space="preserve"> 数据存储要求</w:t>
            </w:r>
            <w:bookmarkEnd w:id="16"/>
            <w:bookmarkEnd w:id="17"/>
            <w:bookmarkEnd w:id="18"/>
            <w:bookmarkEnd w:id="19"/>
            <w:bookmarkEnd w:id="20"/>
            <w:bookmarkEnd w:id="21"/>
          </w:p>
          <w:p w14:paraId="7E33324E">
            <w:pPr>
              <w:pStyle w:val="130"/>
              <w:spacing w:line="360" w:lineRule="exact"/>
              <w:ind w:firstLine="420"/>
              <w:rPr>
                <w:rFonts w:ascii="Arial" w:hAnsi="Arial" w:cs="Arial"/>
                <w:szCs w:val="21"/>
              </w:rPr>
            </w:pPr>
            <w:r>
              <w:rPr>
                <w:rFonts w:hint="eastAsia" w:ascii="Arial" w:hAnsi="Arial" w:cs="Arial"/>
                <w:szCs w:val="21"/>
              </w:rPr>
              <w:t>第八章 数据处理要求</w:t>
            </w:r>
          </w:p>
          <w:p w14:paraId="2B23BAEB">
            <w:pPr>
              <w:pStyle w:val="130"/>
              <w:spacing w:line="360" w:lineRule="exact"/>
              <w:ind w:firstLine="420"/>
              <w:rPr>
                <w:rFonts w:ascii="Arial" w:hAnsi="Arial" w:cs="Arial"/>
                <w:szCs w:val="21"/>
              </w:rPr>
            </w:pPr>
            <w:r>
              <w:rPr>
                <w:rFonts w:hint="eastAsia" w:ascii="Arial" w:hAnsi="Arial" w:cs="Arial"/>
                <w:szCs w:val="21"/>
              </w:rPr>
              <w:t xml:space="preserve">第九章 </w:t>
            </w:r>
            <w:r>
              <w:rPr>
                <w:rFonts w:hint="eastAsia"/>
              </w:rPr>
              <w:t>画像数据要求</w:t>
            </w:r>
          </w:p>
          <w:p w14:paraId="64904689">
            <w:pPr>
              <w:pStyle w:val="130"/>
              <w:spacing w:line="360" w:lineRule="exact"/>
              <w:ind w:firstLine="420"/>
              <w:rPr>
                <w:rFonts w:ascii="Arial" w:hAnsi="Arial" w:cs="Arial"/>
                <w:szCs w:val="21"/>
              </w:rPr>
            </w:pPr>
            <w:r>
              <w:rPr>
                <w:rFonts w:hint="eastAsia" w:ascii="Arial" w:hAnsi="Arial" w:cs="Arial"/>
                <w:szCs w:val="21"/>
              </w:rPr>
              <w:t>第十章 数据分析要求</w:t>
            </w:r>
          </w:p>
          <w:p w14:paraId="79CC3F00">
            <w:pPr>
              <w:pStyle w:val="130"/>
              <w:spacing w:line="360" w:lineRule="exact"/>
              <w:ind w:firstLine="420"/>
              <w:rPr>
                <w:rFonts w:ascii="Arial" w:hAnsi="Arial" w:cs="Arial"/>
                <w:szCs w:val="21"/>
              </w:rPr>
            </w:pPr>
            <w:r>
              <w:rPr>
                <w:rFonts w:hint="eastAsia" w:ascii="Arial" w:hAnsi="Arial" w:cs="Arial"/>
                <w:szCs w:val="21"/>
              </w:rPr>
              <w:t>第十一章 数据可视化</w:t>
            </w:r>
          </w:p>
          <w:p w14:paraId="54FFB1E7">
            <w:pPr>
              <w:pStyle w:val="130"/>
              <w:spacing w:line="360" w:lineRule="exact"/>
              <w:ind w:firstLine="420"/>
              <w:rPr>
                <w:rFonts w:ascii="Arial" w:hAnsi="Arial" w:cs="Arial"/>
                <w:szCs w:val="21"/>
              </w:rPr>
            </w:pPr>
            <w:r>
              <w:rPr>
                <w:rFonts w:hint="eastAsia" w:ascii="Arial" w:hAnsi="Arial" w:cs="Arial"/>
                <w:szCs w:val="21"/>
              </w:rPr>
              <w:t>第十二章 数据应用</w:t>
            </w:r>
          </w:p>
          <w:p w14:paraId="29C29B34">
            <w:pPr>
              <w:pStyle w:val="130"/>
              <w:spacing w:line="360" w:lineRule="exact"/>
              <w:ind w:firstLine="420"/>
              <w:rPr>
                <w:rFonts w:ascii="Arial" w:hAnsi="Arial" w:cs="Arial"/>
                <w:szCs w:val="21"/>
              </w:rPr>
            </w:pPr>
            <w:r>
              <w:rPr>
                <w:rFonts w:hint="eastAsia" w:ascii="Arial" w:hAnsi="Arial" w:cs="Arial"/>
                <w:szCs w:val="21"/>
              </w:rPr>
              <w:t>第十三章 数据安全</w:t>
            </w:r>
          </w:p>
          <w:p w14:paraId="14B9389A">
            <w:pPr>
              <w:pStyle w:val="130"/>
              <w:spacing w:line="360" w:lineRule="exact"/>
              <w:ind w:firstLine="420"/>
              <w:rPr>
                <w:rFonts w:ascii="Arial" w:hAnsi="Arial" w:cs="Arial"/>
                <w:szCs w:val="21"/>
              </w:rPr>
            </w:pPr>
            <w:r>
              <w:rPr>
                <w:rFonts w:hint="eastAsia" w:ascii="Arial" w:hAnsi="Arial" w:cs="Arial"/>
                <w:szCs w:val="21"/>
              </w:rPr>
              <w:t>附录A 检验检测机构数据应用指标</w:t>
            </w:r>
          </w:p>
          <w:p w14:paraId="38C90630">
            <w:pPr>
              <w:pStyle w:val="130"/>
              <w:spacing w:line="360" w:lineRule="exact"/>
              <w:ind w:firstLine="420"/>
              <w:rPr>
                <w:rFonts w:ascii="Arial" w:hAnsi="Arial" w:cs="Arial"/>
                <w:szCs w:val="21"/>
              </w:rPr>
            </w:pPr>
            <w:r>
              <w:rPr>
                <w:rFonts w:hint="eastAsia" w:ascii="Arial" w:hAnsi="Arial" w:cs="Arial"/>
                <w:szCs w:val="21"/>
              </w:rPr>
              <w:t>（2）范围</w:t>
            </w:r>
          </w:p>
          <w:p w14:paraId="6A5ADE50">
            <w:pPr>
              <w:pStyle w:val="130"/>
              <w:spacing w:line="360" w:lineRule="exact"/>
              <w:ind w:firstLine="420"/>
            </w:pPr>
            <w:r>
              <w:rPr>
                <w:rFonts w:hint="eastAsia"/>
              </w:rPr>
              <w:t>本文件规定了检验检测机构数据在分析应用中的总体架构、收集、存储、处理、画像数据、分析、可视化、应用、安全等要求。</w:t>
            </w:r>
          </w:p>
          <w:p w14:paraId="7D8B747A">
            <w:pPr>
              <w:pStyle w:val="130"/>
              <w:spacing w:line="360" w:lineRule="exact"/>
              <w:ind w:firstLine="420"/>
              <w:rPr>
                <w:rFonts w:ascii="Arial" w:hAnsi="Arial" w:cs="Arial"/>
                <w:szCs w:val="21"/>
              </w:rPr>
            </w:pPr>
            <w:r>
              <w:rPr>
                <w:rFonts w:hint="eastAsia"/>
              </w:rPr>
              <w:t>本文件适用于市场监督管理</w:t>
            </w:r>
            <w:r>
              <w:rPr>
                <w:rFonts w:hint="eastAsia"/>
                <w:szCs w:val="21"/>
              </w:rPr>
              <w:t>行业主管部门、检验检测机构及相关组织开展</w:t>
            </w:r>
            <w:r>
              <w:rPr>
                <w:rFonts w:hint="eastAsia"/>
              </w:rPr>
              <w:t>检验检测机构数据的分析应用工作</w:t>
            </w:r>
            <w:r>
              <w:rPr>
                <w:rFonts w:hint="eastAsia" w:ascii="Arial" w:hAnsi="Arial" w:cs="Arial"/>
                <w:szCs w:val="21"/>
              </w:rPr>
              <w:t>。</w:t>
            </w:r>
          </w:p>
          <w:p w14:paraId="5D474384">
            <w:pPr>
              <w:pStyle w:val="130"/>
              <w:spacing w:line="360" w:lineRule="exact"/>
              <w:ind w:firstLine="420"/>
              <w:rPr>
                <w:rFonts w:ascii="Arial" w:hAnsi="Arial" w:cs="Arial"/>
                <w:szCs w:val="21"/>
              </w:rPr>
            </w:pPr>
            <w:r>
              <w:rPr>
                <w:rFonts w:hint="eastAsia" w:ascii="Arial" w:hAnsi="Arial" w:cs="Arial"/>
                <w:szCs w:val="21"/>
              </w:rPr>
              <w:t>（3）数据分析应用总体架构</w:t>
            </w:r>
          </w:p>
          <w:p w14:paraId="5B91504E">
            <w:pPr>
              <w:pStyle w:val="130"/>
              <w:spacing w:line="360" w:lineRule="exact"/>
              <w:ind w:firstLine="420"/>
              <w:rPr>
                <w:rFonts w:ascii="Arial" w:hAnsi="Arial" w:cs="Arial"/>
                <w:szCs w:val="21"/>
              </w:rPr>
            </w:pPr>
            <w:r>
              <w:rPr>
                <w:rFonts w:hint="eastAsia" w:ascii="Arial" w:hAnsi="Arial" w:cs="Arial"/>
                <w:szCs w:val="21"/>
              </w:rPr>
              <w:t>检验检测机构数据</w:t>
            </w:r>
            <w:r>
              <w:rPr>
                <w:rFonts w:hint="eastAsia"/>
              </w:rPr>
              <w:t>分析应用总体架构</w:t>
            </w:r>
            <w:r>
              <w:rPr>
                <w:rFonts w:hint="eastAsia" w:ascii="Arial" w:hAnsi="Arial" w:cs="Arial"/>
                <w:szCs w:val="21"/>
              </w:rPr>
              <w:t>如图1所示。</w:t>
            </w:r>
          </w:p>
          <w:p w14:paraId="26F78D8D">
            <w:pPr>
              <w:jc w:val="center"/>
            </w:pPr>
            <w:r>
              <w:object>
                <v:shape id="_x0000_i1025" o:spt="75" type="#_x0000_t75" style="height:549.75pt;width:324pt;" o:ole="t" filled="f" o:preferrelative="t" stroked="f" coordsize="21600,21600">
                  <v:path/>
                  <v:fill on="f" focussize="0,0"/>
                  <v:stroke on="f" joinstyle="miter"/>
                  <v:imagedata r:id="rId9" o:title=""/>
                  <o:lock v:ext="edit" aspectratio="t"/>
                  <w10:wrap type="none"/>
                  <w10:anchorlock/>
                </v:shape>
                <o:OLEObject Type="Embed" ProgID="Visio.Drawing.15" ShapeID="_x0000_i1025" DrawAspect="Content" ObjectID="_1468075725" r:id="rId8">
                  <o:LockedField>false</o:LockedField>
                </o:OLEObject>
              </w:object>
            </w:r>
          </w:p>
          <w:p w14:paraId="7BB0A7AD">
            <w:pPr>
              <w:pStyle w:val="130"/>
              <w:spacing w:line="360" w:lineRule="exact"/>
              <w:ind w:firstLine="420"/>
              <w:jc w:val="center"/>
              <w:rPr>
                <w:szCs w:val="21"/>
              </w:rPr>
            </w:pPr>
            <w:r>
              <w:rPr>
                <w:rFonts w:hint="eastAsia"/>
                <w:szCs w:val="21"/>
              </w:rPr>
              <w:t>图1 检验检测机构数据分析应用总体架构</w:t>
            </w:r>
          </w:p>
          <w:p w14:paraId="4FA3198F">
            <w:pPr>
              <w:pStyle w:val="130"/>
              <w:spacing w:line="360" w:lineRule="exact"/>
              <w:ind w:firstLine="420"/>
              <w:rPr>
                <w:rFonts w:hAnsi="宋体" w:cs="Arial"/>
                <w:szCs w:val="21"/>
              </w:rPr>
            </w:pPr>
            <w:r>
              <w:rPr>
                <w:rFonts w:hint="eastAsia" w:hAnsi="宋体" w:cs="Arial"/>
                <w:szCs w:val="21"/>
              </w:rPr>
              <w:t>（4）数据收集要求</w:t>
            </w:r>
          </w:p>
          <w:p w14:paraId="60B40AFC">
            <w:pPr>
              <w:pStyle w:val="130"/>
              <w:spacing w:line="360" w:lineRule="exact"/>
              <w:ind w:firstLine="420"/>
              <w:rPr>
                <w:rFonts w:hAnsi="宋体" w:cs="Arial"/>
                <w:szCs w:val="21"/>
              </w:rPr>
            </w:pPr>
            <w:r>
              <w:rPr>
                <w:rFonts w:hAnsi="宋体" w:cs="Arial"/>
                <w:szCs w:val="21"/>
              </w:rPr>
              <w:t>该标准明确了检验检测机构数据的收集范围</w:t>
            </w:r>
            <w:r>
              <w:rPr>
                <w:rFonts w:hint="eastAsia" w:hAnsi="宋体" w:cs="Arial"/>
                <w:szCs w:val="21"/>
              </w:rPr>
              <w:t>、收集方式和多种数据导入功能。</w:t>
            </w:r>
          </w:p>
          <w:p w14:paraId="6708A594">
            <w:pPr>
              <w:pStyle w:val="130"/>
              <w:spacing w:line="360" w:lineRule="exact"/>
              <w:ind w:firstLine="420"/>
              <w:rPr>
                <w:rFonts w:hAnsi="宋体" w:cs="Arial"/>
                <w:szCs w:val="21"/>
              </w:rPr>
            </w:pPr>
            <w:r>
              <w:rPr>
                <w:rFonts w:hint="eastAsia" w:hAnsi="宋体" w:cs="Arial"/>
                <w:szCs w:val="21"/>
              </w:rPr>
              <w:t>（5）数据存储要求</w:t>
            </w:r>
          </w:p>
          <w:p w14:paraId="4D671549">
            <w:pPr>
              <w:pStyle w:val="130"/>
              <w:spacing w:line="360" w:lineRule="exact"/>
              <w:ind w:firstLine="420"/>
              <w:rPr>
                <w:rFonts w:hAnsi="宋体" w:cs="Arial"/>
                <w:szCs w:val="21"/>
              </w:rPr>
            </w:pPr>
            <w:r>
              <w:rPr>
                <w:rFonts w:hAnsi="宋体" w:cs="Arial"/>
                <w:szCs w:val="21"/>
              </w:rPr>
              <w:t>该标准要求系统具备支持多类型数据的存储能力及与数据库、文件系统的数据交换功能，并提供涵盖基本文件操作及分布式多副本容灾恢复的完整存储管理支持。</w:t>
            </w:r>
          </w:p>
          <w:p w14:paraId="0E7C9AA9">
            <w:pPr>
              <w:pStyle w:val="130"/>
              <w:spacing w:line="360" w:lineRule="exact"/>
              <w:ind w:firstLine="420"/>
              <w:rPr>
                <w:rFonts w:hAnsi="宋体" w:cs="Arial"/>
                <w:szCs w:val="21"/>
              </w:rPr>
            </w:pPr>
            <w:r>
              <w:rPr>
                <w:rFonts w:hint="eastAsia" w:hAnsi="宋体" w:cs="Arial"/>
                <w:szCs w:val="21"/>
              </w:rPr>
              <w:t>（6） 数据处理要求</w:t>
            </w:r>
          </w:p>
          <w:p w14:paraId="3B789CC3">
            <w:pPr>
              <w:pStyle w:val="130"/>
              <w:spacing w:line="360" w:lineRule="exact"/>
              <w:ind w:firstLine="420"/>
              <w:rPr>
                <w:rFonts w:hAnsi="宋体" w:cs="Arial"/>
                <w:szCs w:val="21"/>
              </w:rPr>
            </w:pPr>
            <w:r>
              <w:rPr>
                <w:rFonts w:hAnsi="宋体" w:cs="Arial"/>
                <w:szCs w:val="21"/>
              </w:rPr>
              <w:t>该标准要求建立统一的清洗比对规则以校验并修正数据的规范性、完整性与准确性。同时，需构建全流程数据质量管控体系，强化监督检查与问题反馈机制，确保数据合规使用且全程可追溯。</w:t>
            </w:r>
          </w:p>
          <w:p w14:paraId="10C3E9A1">
            <w:pPr>
              <w:pStyle w:val="130"/>
              <w:spacing w:line="360" w:lineRule="exact"/>
              <w:ind w:firstLine="420"/>
            </w:pPr>
            <w:r>
              <w:rPr>
                <w:rFonts w:hint="eastAsia" w:hAnsi="宋体" w:cs="Arial"/>
                <w:szCs w:val="21"/>
              </w:rPr>
              <w:t>（7）</w:t>
            </w:r>
            <w:bookmarkStart w:id="22" w:name="_Toc224565846"/>
            <w:r>
              <w:rPr>
                <w:rFonts w:hint="eastAsia" w:hAnsi="宋体" w:cs="Arial"/>
                <w:szCs w:val="21"/>
              </w:rPr>
              <w:t>画像</w:t>
            </w:r>
            <w:r>
              <w:rPr>
                <w:rFonts w:hint="eastAsia"/>
              </w:rPr>
              <w:t>数据要求</w:t>
            </w:r>
            <w:bookmarkEnd w:id="22"/>
          </w:p>
          <w:p w14:paraId="13AFFA1A">
            <w:pPr>
              <w:pStyle w:val="130"/>
              <w:spacing w:line="360" w:lineRule="exact"/>
              <w:ind w:firstLine="420"/>
              <w:rPr>
                <w:rFonts w:hAnsi="宋体" w:cs="Arial"/>
                <w:szCs w:val="21"/>
              </w:rPr>
            </w:pPr>
            <w:r>
              <w:rPr>
                <w:rFonts w:hint="eastAsia" w:hAnsi="宋体" w:cs="Arial"/>
                <w:szCs w:val="21"/>
              </w:rPr>
              <w:t>画像</w:t>
            </w:r>
            <w:r>
              <w:rPr>
                <w:rFonts w:hint="eastAsia"/>
              </w:rPr>
              <w:t>数据要求见同系列标准《检验检测机构画像数据规范》。</w:t>
            </w:r>
          </w:p>
          <w:p w14:paraId="7677EB1D">
            <w:pPr>
              <w:pStyle w:val="130"/>
              <w:spacing w:line="360" w:lineRule="exact"/>
              <w:ind w:firstLine="420"/>
              <w:rPr>
                <w:rFonts w:hAnsi="宋体" w:cs="Arial"/>
                <w:szCs w:val="21"/>
              </w:rPr>
            </w:pPr>
            <w:r>
              <w:rPr>
                <w:rFonts w:hint="eastAsia" w:hAnsi="宋体" w:cs="Arial"/>
                <w:szCs w:val="21"/>
              </w:rPr>
              <w:t>（8）数据分析要求</w:t>
            </w:r>
          </w:p>
          <w:p w14:paraId="2017B6AE">
            <w:pPr>
              <w:pStyle w:val="130"/>
              <w:spacing w:line="360" w:lineRule="exact"/>
              <w:ind w:firstLine="420"/>
              <w:rPr>
                <w:rFonts w:hAnsi="宋体" w:cs="Arial"/>
                <w:szCs w:val="21"/>
              </w:rPr>
            </w:pPr>
            <w:r>
              <w:rPr>
                <w:rFonts w:hAnsi="宋体" w:cs="Arial"/>
                <w:szCs w:val="21"/>
              </w:rPr>
              <w:t>该标准要求系统构建全方位的数据</w:t>
            </w:r>
            <w:r>
              <w:rPr>
                <w:rFonts w:hint="eastAsia" w:hAnsi="宋体" w:cs="Arial"/>
                <w:szCs w:val="21"/>
              </w:rPr>
              <w:t>分析能力</w:t>
            </w:r>
            <w:r>
              <w:rPr>
                <w:rFonts w:hAnsi="宋体" w:cs="Arial"/>
                <w:szCs w:val="21"/>
              </w:rPr>
              <w:t>，</w:t>
            </w:r>
            <w:r>
              <w:rPr>
                <w:rFonts w:hint="eastAsia" w:hAnsi="宋体" w:cs="Arial"/>
                <w:szCs w:val="21"/>
              </w:rPr>
              <w:t>包括数据查询、机器学习、统计分析、离线数据分析、流数据分析和交互式联机分析</w:t>
            </w:r>
            <w:r>
              <w:rPr>
                <w:rFonts w:hAnsi="宋体" w:cs="Arial"/>
                <w:szCs w:val="21"/>
              </w:rPr>
              <w:t>。</w:t>
            </w:r>
          </w:p>
          <w:p w14:paraId="759CF419">
            <w:pPr>
              <w:pStyle w:val="130"/>
              <w:spacing w:line="360" w:lineRule="exact"/>
              <w:ind w:firstLine="420"/>
              <w:rPr>
                <w:rFonts w:hAnsi="宋体" w:cs="Arial"/>
                <w:szCs w:val="21"/>
              </w:rPr>
            </w:pPr>
            <w:r>
              <w:rPr>
                <w:rFonts w:hint="eastAsia" w:hAnsi="宋体" w:cs="Arial"/>
                <w:szCs w:val="21"/>
              </w:rPr>
              <w:t>（9）数据可视化</w:t>
            </w:r>
          </w:p>
          <w:p w14:paraId="38A28232">
            <w:pPr>
              <w:pStyle w:val="130"/>
              <w:spacing w:line="360" w:lineRule="exact"/>
              <w:ind w:firstLine="420"/>
              <w:rPr>
                <w:rFonts w:hAnsi="宋体" w:cs="Arial"/>
                <w:szCs w:val="21"/>
              </w:rPr>
            </w:pPr>
            <w:r>
              <w:rPr>
                <w:rFonts w:hAnsi="宋体" w:cs="Arial"/>
                <w:szCs w:val="21"/>
              </w:rPr>
              <w:t>该标准要求系统支持多种常见数据格式输入及高维数据可视化，提供涵盖柱状图、地图等十余种形式的丰富图表库。同时，鼓励集成算法模型评估可视化工具及第三方可视化API，以构建灵活全面的数据展示与分析能力。</w:t>
            </w:r>
          </w:p>
          <w:p w14:paraId="3A3B2BA0">
            <w:pPr>
              <w:pStyle w:val="130"/>
              <w:spacing w:line="360" w:lineRule="exact"/>
              <w:ind w:firstLine="420"/>
              <w:rPr>
                <w:rFonts w:hAnsi="宋体" w:cs="Arial"/>
                <w:szCs w:val="21"/>
              </w:rPr>
            </w:pPr>
            <w:r>
              <w:rPr>
                <w:rFonts w:hint="eastAsia" w:hAnsi="宋体" w:cs="Arial"/>
                <w:szCs w:val="21"/>
              </w:rPr>
              <w:t>（10）数据应用</w:t>
            </w:r>
          </w:p>
          <w:p w14:paraId="5B873047">
            <w:pPr>
              <w:pStyle w:val="130"/>
              <w:spacing w:line="360" w:lineRule="exact"/>
              <w:ind w:firstLine="420"/>
              <w:rPr>
                <w:rFonts w:hAnsi="宋体" w:cs="Arial"/>
                <w:szCs w:val="21"/>
              </w:rPr>
            </w:pPr>
            <w:r>
              <w:rPr>
                <w:rFonts w:hAnsi="宋体" w:cs="Arial"/>
                <w:szCs w:val="21"/>
              </w:rPr>
              <w:t>检验检测机构的数据应用涵盖合规判定、风险</w:t>
            </w:r>
            <w:r>
              <w:rPr>
                <w:rFonts w:hint="eastAsia" w:hAnsi="宋体" w:cs="Arial"/>
                <w:szCs w:val="21"/>
              </w:rPr>
              <w:t>监测</w:t>
            </w:r>
            <w:r>
              <w:rPr>
                <w:rFonts w:hAnsi="宋体" w:cs="Arial"/>
                <w:szCs w:val="21"/>
              </w:rPr>
              <w:t>、诚信评估、数智化评估、报告溯源验证五大场景，各场景均围绕对应核心维度开展数据应用。机构可依据数据应用指标自行评估完善，也可由监管部门开展评估</w:t>
            </w:r>
            <w:r>
              <w:rPr>
                <w:rFonts w:hint="eastAsia" w:hAnsi="宋体" w:cs="Arial"/>
                <w:szCs w:val="21"/>
              </w:rPr>
              <w:t>。</w:t>
            </w:r>
          </w:p>
          <w:p w14:paraId="6D2704C4">
            <w:pPr>
              <w:pStyle w:val="130"/>
              <w:spacing w:line="360" w:lineRule="exact"/>
              <w:ind w:firstLine="420"/>
              <w:rPr>
                <w:rFonts w:hAnsi="宋体" w:cs="Arial"/>
                <w:szCs w:val="21"/>
              </w:rPr>
            </w:pPr>
            <w:r>
              <w:rPr>
                <w:rFonts w:hint="eastAsia" w:hAnsi="宋体" w:cs="Arial"/>
                <w:szCs w:val="21"/>
              </w:rPr>
              <w:t>（11）数据安全</w:t>
            </w:r>
          </w:p>
          <w:p w14:paraId="7CFE2202">
            <w:pPr>
              <w:pStyle w:val="130"/>
              <w:spacing w:line="360" w:lineRule="exact"/>
              <w:ind w:firstLine="420"/>
              <w:rPr>
                <w:rFonts w:hAnsi="宋体" w:cs="Arial"/>
                <w:szCs w:val="21"/>
              </w:rPr>
            </w:pPr>
            <w:r>
              <w:rPr>
                <w:rFonts w:hint="eastAsia" w:hAnsi="宋体" w:cs="Arial"/>
                <w:szCs w:val="21"/>
              </w:rPr>
              <w:t>检验检测机构监督管理数据分析应用过程中涉及到的</w:t>
            </w:r>
            <w:r>
              <w:rPr>
                <w:rFonts w:hAnsi="宋体" w:cs="Arial"/>
                <w:szCs w:val="21"/>
              </w:rPr>
              <w:t>网络安全、个人信息保护、数据分类分级</w:t>
            </w:r>
            <w:r>
              <w:rPr>
                <w:rFonts w:hint="eastAsia" w:hAnsi="宋体" w:cs="Arial"/>
                <w:szCs w:val="21"/>
              </w:rPr>
              <w:t>等</w:t>
            </w:r>
            <w:r>
              <w:rPr>
                <w:rFonts w:hAnsi="宋体" w:cs="Arial"/>
                <w:szCs w:val="21"/>
              </w:rPr>
              <w:t>，均需分别遵循对应国家标准执行</w:t>
            </w:r>
            <w:r>
              <w:rPr>
                <w:rFonts w:hint="eastAsia" w:hAnsi="宋体" w:cs="Arial"/>
                <w:szCs w:val="21"/>
              </w:rPr>
              <w:t>。</w:t>
            </w:r>
          </w:p>
          <w:p w14:paraId="4A74C455">
            <w:pPr>
              <w:pStyle w:val="130"/>
              <w:spacing w:line="360" w:lineRule="exact"/>
              <w:ind w:firstLine="420"/>
              <w:rPr>
                <w:rFonts w:hAnsi="宋体" w:cs="Arial"/>
                <w:szCs w:val="21"/>
              </w:rPr>
            </w:pPr>
            <w:r>
              <w:rPr>
                <w:rFonts w:hint="eastAsia" w:hAnsi="宋体" w:cs="Arial"/>
                <w:szCs w:val="21"/>
              </w:rPr>
              <w:t>附录A（资料性）</w:t>
            </w:r>
          </w:p>
          <w:p w14:paraId="3598E018">
            <w:pPr>
              <w:pStyle w:val="130"/>
              <w:spacing w:line="360" w:lineRule="exact"/>
              <w:ind w:firstLine="420"/>
              <w:rPr>
                <w:rFonts w:hAnsi="宋体"/>
                <w:color w:val="000000"/>
                <w:szCs w:val="21"/>
              </w:rPr>
            </w:pPr>
            <w:r>
              <w:rPr>
                <w:rFonts w:hint="eastAsia" w:hAnsi="宋体"/>
                <w:color w:val="000000"/>
                <w:szCs w:val="21"/>
              </w:rPr>
              <w:t>以表格形式给出了</w:t>
            </w:r>
            <w:r>
              <w:rPr>
                <w:rFonts w:hint="eastAsia"/>
              </w:rPr>
              <w:t>检验检测机构数据应用指标</w:t>
            </w:r>
            <w:r>
              <w:rPr>
                <w:rFonts w:hint="eastAsia" w:hAnsi="宋体"/>
                <w:color w:val="000000"/>
                <w:szCs w:val="21"/>
              </w:rPr>
              <w:t>，主要包括</w:t>
            </w:r>
            <w:r>
              <w:rPr>
                <w:rFonts w:hint="eastAsia" w:hAnsi="宋体"/>
                <w:szCs w:val="21"/>
              </w:rPr>
              <w:t>合规判定、风险监测、</w:t>
            </w:r>
            <w:bookmarkStart w:id="23" w:name="OLE_LINK37"/>
            <w:bookmarkStart w:id="24" w:name="OLE_LINK36"/>
            <w:r>
              <w:rPr>
                <w:rFonts w:hint="eastAsia" w:hAnsi="宋体"/>
                <w:szCs w:val="21"/>
              </w:rPr>
              <w:t>诚信评估</w:t>
            </w:r>
            <w:bookmarkEnd w:id="23"/>
            <w:bookmarkEnd w:id="24"/>
            <w:r>
              <w:rPr>
                <w:rFonts w:hint="eastAsia" w:hAnsi="宋体"/>
                <w:szCs w:val="21"/>
              </w:rPr>
              <w:t>、</w:t>
            </w:r>
            <w:bookmarkStart w:id="25" w:name="OLE_LINK17"/>
            <w:bookmarkStart w:id="26" w:name="OLE_LINK16"/>
            <w:r>
              <w:rPr>
                <w:rFonts w:hint="eastAsia" w:hAnsi="宋体"/>
                <w:szCs w:val="21"/>
              </w:rPr>
              <w:t>数智化评估</w:t>
            </w:r>
            <w:bookmarkEnd w:id="25"/>
            <w:bookmarkEnd w:id="26"/>
            <w:r>
              <w:rPr>
                <w:rFonts w:hint="eastAsia" w:hAnsi="宋体"/>
                <w:szCs w:val="21"/>
              </w:rPr>
              <w:t>、</w:t>
            </w:r>
            <w:bookmarkStart w:id="27" w:name="OLE_LINK32"/>
            <w:bookmarkStart w:id="28" w:name="OLE_LINK33"/>
            <w:r>
              <w:rPr>
                <w:rFonts w:hint="eastAsia" w:hAnsi="宋体"/>
                <w:szCs w:val="21"/>
              </w:rPr>
              <w:t>报告溯源验证</w:t>
            </w:r>
            <w:bookmarkEnd w:id="27"/>
            <w:bookmarkEnd w:id="28"/>
            <w:r>
              <w:rPr>
                <w:rFonts w:hint="eastAsia" w:hAnsi="宋体"/>
                <w:szCs w:val="21"/>
              </w:rPr>
              <w:t>五个场景</w:t>
            </w:r>
            <w:r>
              <w:rPr>
                <w:rFonts w:hint="eastAsia" w:hAnsi="宋体"/>
                <w:color w:val="000000"/>
                <w:szCs w:val="21"/>
              </w:rPr>
              <w:t>，供机构参考执行。</w:t>
            </w:r>
          </w:p>
        </w:tc>
      </w:tr>
    </w:tbl>
    <w:p w14:paraId="75C1F128">
      <w:pPr>
        <w:rPr>
          <w:rFonts w:eastAsia="仿宋_GB2312"/>
          <w:b/>
          <w:color w:val="000000"/>
          <w:kern w:val="0"/>
          <w:sz w:val="32"/>
        </w:rPr>
      </w:pPr>
    </w:p>
    <w:tbl>
      <w:tblPr>
        <w:tblStyle w:val="38"/>
        <w:tblpPr w:leftFromText="180" w:rightFromText="180" w:vertAnchor="text" w:horzAnchor="margin" w:tblpXSpec="center" w:tblpY="169"/>
        <w:tblW w:w="962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800"/>
        <w:gridCol w:w="6"/>
        <w:gridCol w:w="3853"/>
        <w:gridCol w:w="1315"/>
        <w:gridCol w:w="2651"/>
      </w:tblGrid>
      <w:tr w14:paraId="5D4D6172">
        <w:trPr>
          <w:cantSplit/>
          <w:trHeight w:val="490" w:hRule="atLeast"/>
        </w:trPr>
        <w:tc>
          <w:tcPr>
            <w:tcW w:w="9625" w:type="dxa"/>
            <w:gridSpan w:val="5"/>
            <w:tcBorders>
              <w:top w:val="nil"/>
              <w:left w:val="nil"/>
              <w:bottom w:val="nil"/>
              <w:right w:val="nil"/>
            </w:tcBorders>
            <w:vAlign w:val="center"/>
          </w:tcPr>
          <w:p w14:paraId="038D3337">
            <w:pPr>
              <w:rPr>
                <w:rFonts w:ascii="宋体" w:hAnsi="宋体"/>
                <w:b/>
                <w:color w:val="000000"/>
                <w:szCs w:val="21"/>
              </w:rPr>
            </w:pPr>
            <w:r>
              <w:rPr>
                <w:rFonts w:hint="eastAsia" w:ascii="宋体" w:hAnsi="宋体"/>
                <w:b/>
                <w:color w:val="000000"/>
                <w:szCs w:val="21"/>
              </w:rPr>
              <w:t>5  验证情况（基础类标准除外）</w:t>
            </w:r>
          </w:p>
        </w:tc>
      </w:tr>
      <w:tr w14:paraId="6F671DD4">
        <w:trPr>
          <w:cantSplit/>
          <w:trHeight w:val="585" w:hRule="atLeast"/>
        </w:trPr>
        <w:tc>
          <w:tcPr>
            <w:tcW w:w="1800" w:type="dxa"/>
            <w:vMerge w:val="restart"/>
            <w:tcBorders>
              <w:top w:val="single" w:color="auto" w:sz="4" w:space="0"/>
              <w:left w:val="single" w:color="auto" w:sz="4" w:space="0"/>
              <w:right w:val="single" w:color="auto" w:sz="4" w:space="0"/>
            </w:tcBorders>
            <w:vAlign w:val="center"/>
          </w:tcPr>
          <w:p w14:paraId="15C07EB7">
            <w:pPr>
              <w:ind w:left="141" w:leftChars="67" w:right="48" w:rightChars="23"/>
              <w:rPr>
                <w:rFonts w:ascii="宋体" w:hAnsi="宋体"/>
                <w:color w:val="000000"/>
                <w:szCs w:val="21"/>
              </w:rPr>
            </w:pPr>
            <w:r>
              <w:rPr>
                <w:rFonts w:ascii="宋体" w:hAnsi="宋体"/>
                <w:color w:val="000000"/>
                <w:szCs w:val="21"/>
              </w:rPr>
              <w:t>5.1 验证单位情况</w:t>
            </w:r>
          </w:p>
        </w:tc>
        <w:tc>
          <w:tcPr>
            <w:tcW w:w="3859" w:type="dxa"/>
            <w:gridSpan w:val="2"/>
            <w:tcBorders>
              <w:top w:val="single" w:color="auto" w:sz="4" w:space="0"/>
              <w:left w:val="single" w:color="auto" w:sz="4" w:space="0"/>
              <w:bottom w:val="single" w:color="auto" w:sz="4" w:space="0"/>
              <w:right w:val="single" w:color="auto" w:sz="4" w:space="0"/>
            </w:tcBorders>
            <w:vAlign w:val="center"/>
          </w:tcPr>
          <w:p w14:paraId="14825272">
            <w:pPr>
              <w:ind w:left="141" w:leftChars="67" w:right="48" w:rightChars="23"/>
              <w:jc w:val="center"/>
              <w:rPr>
                <w:rFonts w:ascii="宋体" w:hAnsi="宋体"/>
                <w:color w:val="000000"/>
                <w:szCs w:val="21"/>
              </w:rPr>
            </w:pPr>
            <w:r>
              <w:rPr>
                <w:rFonts w:ascii="宋体" w:hAnsi="宋体"/>
                <w:color w:val="000000"/>
                <w:szCs w:val="21"/>
              </w:rPr>
              <w:t>验证单位</w:t>
            </w:r>
          </w:p>
        </w:tc>
        <w:tc>
          <w:tcPr>
            <w:tcW w:w="1315" w:type="dxa"/>
            <w:tcBorders>
              <w:top w:val="single" w:color="auto" w:sz="4" w:space="0"/>
              <w:left w:val="single" w:color="auto" w:sz="4" w:space="0"/>
              <w:bottom w:val="single" w:color="auto" w:sz="4" w:space="0"/>
              <w:right w:val="single" w:color="auto" w:sz="4" w:space="0"/>
            </w:tcBorders>
            <w:vAlign w:val="center"/>
          </w:tcPr>
          <w:p w14:paraId="2C67ADB8">
            <w:pPr>
              <w:jc w:val="center"/>
              <w:rPr>
                <w:rFonts w:ascii="宋体" w:hAnsi="宋体"/>
                <w:color w:val="000000"/>
                <w:szCs w:val="21"/>
              </w:rPr>
            </w:pPr>
            <w:r>
              <w:rPr>
                <w:rFonts w:ascii="宋体" w:hAnsi="宋体"/>
                <w:color w:val="000000"/>
                <w:szCs w:val="21"/>
              </w:rPr>
              <w:t>验证人员</w:t>
            </w:r>
          </w:p>
        </w:tc>
        <w:tc>
          <w:tcPr>
            <w:tcW w:w="2651" w:type="dxa"/>
            <w:tcBorders>
              <w:top w:val="single" w:color="auto" w:sz="4" w:space="0"/>
              <w:left w:val="single" w:color="auto" w:sz="4" w:space="0"/>
              <w:bottom w:val="single" w:color="auto" w:sz="4" w:space="0"/>
              <w:right w:val="single" w:color="auto" w:sz="4" w:space="0"/>
            </w:tcBorders>
            <w:vAlign w:val="center"/>
          </w:tcPr>
          <w:p w14:paraId="4A470301">
            <w:pPr>
              <w:jc w:val="center"/>
              <w:rPr>
                <w:rFonts w:ascii="宋体" w:hAnsi="宋体"/>
                <w:color w:val="000000"/>
                <w:szCs w:val="21"/>
              </w:rPr>
            </w:pPr>
            <w:r>
              <w:rPr>
                <w:rFonts w:ascii="宋体" w:hAnsi="宋体"/>
                <w:color w:val="000000"/>
                <w:szCs w:val="21"/>
              </w:rPr>
              <w:t>验证时间</w:t>
            </w:r>
          </w:p>
        </w:tc>
      </w:tr>
      <w:tr w14:paraId="6A5387D3">
        <w:trPr>
          <w:cantSplit/>
          <w:trHeight w:val="435" w:hRule="atLeast"/>
        </w:trPr>
        <w:tc>
          <w:tcPr>
            <w:tcW w:w="1800" w:type="dxa"/>
            <w:vMerge w:val="continue"/>
            <w:tcBorders>
              <w:left w:val="single" w:color="auto" w:sz="4" w:space="0"/>
              <w:right w:val="single" w:color="auto" w:sz="4" w:space="0"/>
            </w:tcBorders>
            <w:vAlign w:val="center"/>
          </w:tcPr>
          <w:p w14:paraId="355B090D">
            <w:pPr>
              <w:ind w:left="141" w:leftChars="67" w:right="48" w:rightChars="23"/>
              <w:jc w:val="center"/>
              <w:rPr>
                <w:rFonts w:ascii="宋体" w:hAnsi="宋体"/>
                <w:color w:val="000000"/>
                <w:szCs w:val="21"/>
              </w:rPr>
            </w:pPr>
          </w:p>
        </w:tc>
        <w:tc>
          <w:tcPr>
            <w:tcW w:w="3859" w:type="dxa"/>
            <w:gridSpan w:val="2"/>
            <w:tcBorders>
              <w:top w:val="single" w:color="auto" w:sz="4" w:space="0"/>
              <w:left w:val="single" w:color="auto" w:sz="4" w:space="0"/>
              <w:bottom w:val="single" w:color="auto" w:sz="4" w:space="0"/>
              <w:right w:val="single" w:color="auto" w:sz="4" w:space="0"/>
            </w:tcBorders>
            <w:vAlign w:val="center"/>
          </w:tcPr>
          <w:p w14:paraId="41C03097">
            <w:pPr>
              <w:ind w:left="141" w:leftChars="67" w:right="48" w:rightChars="23"/>
              <w:jc w:val="center"/>
              <w:rPr>
                <w:rFonts w:ascii="宋体" w:hAnsi="宋体"/>
                <w:color w:val="000000"/>
                <w:szCs w:val="21"/>
              </w:rPr>
            </w:pPr>
            <w:r>
              <w:rPr>
                <w:rFonts w:hint="eastAsia" w:ascii="宋体" w:hAnsi="宋体"/>
                <w:color w:val="000000"/>
                <w:szCs w:val="21"/>
              </w:rPr>
              <w:t>/</w:t>
            </w:r>
          </w:p>
        </w:tc>
        <w:tc>
          <w:tcPr>
            <w:tcW w:w="1315" w:type="dxa"/>
            <w:tcBorders>
              <w:top w:val="single" w:color="auto" w:sz="4" w:space="0"/>
              <w:left w:val="single" w:color="auto" w:sz="4" w:space="0"/>
              <w:bottom w:val="single" w:color="auto" w:sz="4" w:space="0"/>
              <w:right w:val="single" w:color="auto" w:sz="4" w:space="0"/>
            </w:tcBorders>
            <w:vAlign w:val="center"/>
          </w:tcPr>
          <w:p w14:paraId="0435587F">
            <w:pPr>
              <w:jc w:val="center"/>
              <w:rPr>
                <w:rFonts w:ascii="宋体" w:hAnsi="宋体"/>
                <w:color w:val="000000"/>
                <w:szCs w:val="21"/>
              </w:rPr>
            </w:pPr>
            <w:r>
              <w:rPr>
                <w:rFonts w:hint="eastAsia" w:ascii="宋体" w:hAnsi="宋体"/>
                <w:color w:val="000000"/>
                <w:szCs w:val="21"/>
              </w:rPr>
              <w:t>/</w:t>
            </w:r>
          </w:p>
        </w:tc>
        <w:tc>
          <w:tcPr>
            <w:tcW w:w="2651" w:type="dxa"/>
            <w:tcBorders>
              <w:top w:val="single" w:color="auto" w:sz="4" w:space="0"/>
              <w:left w:val="single" w:color="auto" w:sz="4" w:space="0"/>
              <w:bottom w:val="single" w:color="auto" w:sz="4" w:space="0"/>
              <w:right w:val="single" w:color="auto" w:sz="4" w:space="0"/>
            </w:tcBorders>
            <w:vAlign w:val="center"/>
          </w:tcPr>
          <w:p w14:paraId="002D8832">
            <w:pPr>
              <w:jc w:val="center"/>
              <w:rPr>
                <w:rFonts w:ascii="宋体" w:hAnsi="宋体"/>
                <w:color w:val="000000"/>
                <w:szCs w:val="21"/>
              </w:rPr>
            </w:pPr>
            <w:r>
              <w:rPr>
                <w:rFonts w:hint="eastAsia" w:ascii="宋体" w:hAnsi="宋体"/>
                <w:color w:val="000000"/>
                <w:szCs w:val="21"/>
              </w:rPr>
              <w:t>/</w:t>
            </w:r>
          </w:p>
        </w:tc>
      </w:tr>
      <w:tr w14:paraId="4864C46A">
        <w:trPr>
          <w:cantSplit/>
          <w:trHeight w:val="435" w:hRule="atLeast"/>
        </w:trPr>
        <w:tc>
          <w:tcPr>
            <w:tcW w:w="1800" w:type="dxa"/>
            <w:vMerge w:val="continue"/>
            <w:tcBorders>
              <w:left w:val="single" w:color="auto" w:sz="4" w:space="0"/>
              <w:right w:val="single" w:color="auto" w:sz="4" w:space="0"/>
            </w:tcBorders>
            <w:vAlign w:val="center"/>
          </w:tcPr>
          <w:p w14:paraId="0F7903B3">
            <w:pPr>
              <w:ind w:left="141" w:leftChars="67" w:right="48" w:rightChars="23"/>
              <w:jc w:val="center"/>
              <w:rPr>
                <w:rFonts w:ascii="宋体" w:hAnsi="宋体"/>
                <w:color w:val="000000"/>
                <w:szCs w:val="21"/>
              </w:rPr>
            </w:pPr>
          </w:p>
        </w:tc>
        <w:tc>
          <w:tcPr>
            <w:tcW w:w="3859" w:type="dxa"/>
            <w:gridSpan w:val="2"/>
            <w:tcBorders>
              <w:top w:val="single" w:color="auto" w:sz="4" w:space="0"/>
              <w:left w:val="single" w:color="auto" w:sz="4" w:space="0"/>
              <w:bottom w:val="single" w:color="auto" w:sz="4" w:space="0"/>
              <w:right w:val="single" w:color="auto" w:sz="4" w:space="0"/>
            </w:tcBorders>
            <w:vAlign w:val="center"/>
          </w:tcPr>
          <w:p w14:paraId="4FFBEFC7">
            <w:pPr>
              <w:ind w:left="141" w:leftChars="67" w:right="48" w:rightChars="23"/>
              <w:jc w:val="center"/>
              <w:rPr>
                <w:rFonts w:ascii="宋体" w:hAnsi="宋体"/>
                <w:color w:val="000000"/>
                <w:szCs w:val="21"/>
              </w:rPr>
            </w:pPr>
          </w:p>
        </w:tc>
        <w:tc>
          <w:tcPr>
            <w:tcW w:w="1315" w:type="dxa"/>
            <w:tcBorders>
              <w:top w:val="single" w:color="auto" w:sz="4" w:space="0"/>
              <w:left w:val="single" w:color="auto" w:sz="4" w:space="0"/>
              <w:bottom w:val="single" w:color="auto" w:sz="4" w:space="0"/>
              <w:right w:val="single" w:color="auto" w:sz="4" w:space="0"/>
            </w:tcBorders>
            <w:vAlign w:val="center"/>
          </w:tcPr>
          <w:p w14:paraId="0FB83A6C">
            <w:pPr>
              <w:jc w:val="center"/>
              <w:rPr>
                <w:rFonts w:ascii="宋体" w:hAnsi="宋体"/>
                <w:color w:val="000000"/>
                <w:szCs w:val="21"/>
              </w:rPr>
            </w:pPr>
          </w:p>
        </w:tc>
        <w:tc>
          <w:tcPr>
            <w:tcW w:w="2651" w:type="dxa"/>
            <w:tcBorders>
              <w:top w:val="single" w:color="auto" w:sz="4" w:space="0"/>
              <w:left w:val="single" w:color="auto" w:sz="4" w:space="0"/>
              <w:bottom w:val="single" w:color="auto" w:sz="4" w:space="0"/>
              <w:right w:val="single" w:color="auto" w:sz="4" w:space="0"/>
            </w:tcBorders>
          </w:tcPr>
          <w:p w14:paraId="45B54CDB">
            <w:pPr>
              <w:jc w:val="right"/>
              <w:rPr>
                <w:rFonts w:ascii="宋体" w:hAnsi="宋体"/>
                <w:color w:val="000000"/>
                <w:szCs w:val="21"/>
              </w:rPr>
            </w:pPr>
          </w:p>
        </w:tc>
      </w:tr>
      <w:tr w14:paraId="42E94A65">
        <w:trPr>
          <w:cantSplit/>
          <w:trHeight w:val="435" w:hRule="atLeast"/>
        </w:trPr>
        <w:tc>
          <w:tcPr>
            <w:tcW w:w="1800" w:type="dxa"/>
            <w:vMerge w:val="continue"/>
            <w:tcBorders>
              <w:left w:val="single" w:color="auto" w:sz="4" w:space="0"/>
              <w:right w:val="single" w:color="auto" w:sz="4" w:space="0"/>
            </w:tcBorders>
            <w:vAlign w:val="center"/>
          </w:tcPr>
          <w:p w14:paraId="3417C0BD">
            <w:pPr>
              <w:ind w:left="141" w:leftChars="67" w:right="48" w:rightChars="23"/>
              <w:jc w:val="center"/>
              <w:rPr>
                <w:rFonts w:ascii="宋体" w:hAnsi="宋体"/>
                <w:color w:val="000000"/>
                <w:szCs w:val="21"/>
              </w:rPr>
            </w:pPr>
          </w:p>
        </w:tc>
        <w:tc>
          <w:tcPr>
            <w:tcW w:w="3859" w:type="dxa"/>
            <w:gridSpan w:val="2"/>
            <w:tcBorders>
              <w:top w:val="single" w:color="auto" w:sz="4" w:space="0"/>
              <w:left w:val="single" w:color="auto" w:sz="4" w:space="0"/>
              <w:bottom w:val="single" w:color="auto" w:sz="4" w:space="0"/>
              <w:right w:val="single" w:color="auto" w:sz="4" w:space="0"/>
            </w:tcBorders>
            <w:vAlign w:val="center"/>
          </w:tcPr>
          <w:p w14:paraId="1FD4A9F6">
            <w:pPr>
              <w:ind w:left="141" w:leftChars="67" w:right="48" w:rightChars="23"/>
              <w:jc w:val="center"/>
              <w:rPr>
                <w:rFonts w:ascii="宋体" w:hAnsi="宋体"/>
                <w:color w:val="000000"/>
                <w:szCs w:val="21"/>
              </w:rPr>
            </w:pPr>
          </w:p>
        </w:tc>
        <w:tc>
          <w:tcPr>
            <w:tcW w:w="1315" w:type="dxa"/>
            <w:tcBorders>
              <w:top w:val="single" w:color="auto" w:sz="4" w:space="0"/>
              <w:left w:val="single" w:color="auto" w:sz="4" w:space="0"/>
              <w:bottom w:val="single" w:color="auto" w:sz="4" w:space="0"/>
              <w:right w:val="single" w:color="auto" w:sz="4" w:space="0"/>
            </w:tcBorders>
            <w:vAlign w:val="center"/>
          </w:tcPr>
          <w:p w14:paraId="411F6D3E">
            <w:pPr>
              <w:jc w:val="center"/>
              <w:rPr>
                <w:rFonts w:ascii="宋体" w:hAnsi="宋体"/>
                <w:color w:val="000000"/>
                <w:szCs w:val="21"/>
              </w:rPr>
            </w:pPr>
          </w:p>
        </w:tc>
        <w:tc>
          <w:tcPr>
            <w:tcW w:w="2651" w:type="dxa"/>
            <w:tcBorders>
              <w:top w:val="single" w:color="auto" w:sz="4" w:space="0"/>
              <w:left w:val="single" w:color="auto" w:sz="4" w:space="0"/>
              <w:bottom w:val="single" w:color="auto" w:sz="4" w:space="0"/>
              <w:right w:val="single" w:color="auto" w:sz="4" w:space="0"/>
            </w:tcBorders>
          </w:tcPr>
          <w:p w14:paraId="2B68AD15">
            <w:pPr>
              <w:jc w:val="right"/>
              <w:rPr>
                <w:rFonts w:ascii="宋体" w:hAnsi="宋体"/>
                <w:color w:val="000000"/>
                <w:szCs w:val="21"/>
              </w:rPr>
            </w:pPr>
          </w:p>
        </w:tc>
      </w:tr>
      <w:tr w14:paraId="58C8C39B">
        <w:trPr>
          <w:cantSplit/>
          <w:trHeight w:val="435" w:hRule="atLeast"/>
        </w:trPr>
        <w:tc>
          <w:tcPr>
            <w:tcW w:w="1800" w:type="dxa"/>
            <w:vMerge w:val="continue"/>
            <w:tcBorders>
              <w:left w:val="single" w:color="auto" w:sz="4" w:space="0"/>
              <w:right w:val="single" w:color="auto" w:sz="4" w:space="0"/>
            </w:tcBorders>
            <w:vAlign w:val="center"/>
          </w:tcPr>
          <w:p w14:paraId="5040A6FD">
            <w:pPr>
              <w:ind w:left="141" w:leftChars="67" w:right="48" w:rightChars="23"/>
              <w:jc w:val="center"/>
              <w:rPr>
                <w:rFonts w:ascii="宋体" w:hAnsi="宋体"/>
                <w:color w:val="000000"/>
                <w:szCs w:val="21"/>
              </w:rPr>
            </w:pPr>
          </w:p>
        </w:tc>
        <w:tc>
          <w:tcPr>
            <w:tcW w:w="3859" w:type="dxa"/>
            <w:gridSpan w:val="2"/>
            <w:tcBorders>
              <w:top w:val="single" w:color="auto" w:sz="4" w:space="0"/>
              <w:left w:val="single" w:color="auto" w:sz="4" w:space="0"/>
              <w:bottom w:val="single" w:color="auto" w:sz="4" w:space="0"/>
              <w:right w:val="single" w:color="auto" w:sz="4" w:space="0"/>
            </w:tcBorders>
            <w:vAlign w:val="center"/>
          </w:tcPr>
          <w:p w14:paraId="51C9BA4E">
            <w:pPr>
              <w:ind w:left="141" w:leftChars="67" w:right="48" w:rightChars="23"/>
              <w:jc w:val="center"/>
              <w:rPr>
                <w:rFonts w:ascii="宋体" w:hAnsi="宋体"/>
                <w:color w:val="000000"/>
                <w:szCs w:val="21"/>
              </w:rPr>
            </w:pPr>
          </w:p>
        </w:tc>
        <w:tc>
          <w:tcPr>
            <w:tcW w:w="1315" w:type="dxa"/>
            <w:tcBorders>
              <w:top w:val="single" w:color="auto" w:sz="4" w:space="0"/>
              <w:left w:val="single" w:color="auto" w:sz="4" w:space="0"/>
              <w:bottom w:val="single" w:color="auto" w:sz="4" w:space="0"/>
              <w:right w:val="single" w:color="auto" w:sz="4" w:space="0"/>
            </w:tcBorders>
            <w:vAlign w:val="center"/>
          </w:tcPr>
          <w:p w14:paraId="02FDF2EF">
            <w:pPr>
              <w:jc w:val="center"/>
              <w:rPr>
                <w:rFonts w:ascii="宋体" w:hAnsi="宋体"/>
                <w:color w:val="000000"/>
                <w:szCs w:val="21"/>
              </w:rPr>
            </w:pPr>
          </w:p>
        </w:tc>
        <w:tc>
          <w:tcPr>
            <w:tcW w:w="2651" w:type="dxa"/>
            <w:tcBorders>
              <w:top w:val="single" w:color="auto" w:sz="4" w:space="0"/>
              <w:left w:val="single" w:color="auto" w:sz="4" w:space="0"/>
              <w:bottom w:val="single" w:color="auto" w:sz="4" w:space="0"/>
              <w:right w:val="single" w:color="auto" w:sz="4" w:space="0"/>
            </w:tcBorders>
          </w:tcPr>
          <w:p w14:paraId="2B50C3E9">
            <w:pPr>
              <w:jc w:val="right"/>
              <w:rPr>
                <w:rFonts w:ascii="宋体" w:hAnsi="宋体"/>
                <w:color w:val="000000"/>
                <w:szCs w:val="21"/>
              </w:rPr>
            </w:pPr>
          </w:p>
        </w:tc>
      </w:tr>
      <w:tr w14:paraId="351A0464">
        <w:trPr>
          <w:cantSplit/>
          <w:trHeight w:val="435" w:hRule="atLeast"/>
        </w:trPr>
        <w:tc>
          <w:tcPr>
            <w:tcW w:w="1800" w:type="dxa"/>
            <w:vMerge w:val="continue"/>
            <w:tcBorders>
              <w:left w:val="single" w:color="auto" w:sz="4" w:space="0"/>
              <w:right w:val="single" w:color="auto" w:sz="4" w:space="0"/>
            </w:tcBorders>
            <w:vAlign w:val="center"/>
          </w:tcPr>
          <w:p w14:paraId="10CD4990">
            <w:pPr>
              <w:ind w:left="141" w:leftChars="67" w:right="48" w:rightChars="23"/>
              <w:jc w:val="center"/>
              <w:rPr>
                <w:rFonts w:ascii="宋体" w:hAnsi="宋体"/>
                <w:color w:val="000000"/>
                <w:szCs w:val="21"/>
              </w:rPr>
            </w:pPr>
          </w:p>
        </w:tc>
        <w:tc>
          <w:tcPr>
            <w:tcW w:w="3859" w:type="dxa"/>
            <w:gridSpan w:val="2"/>
            <w:tcBorders>
              <w:top w:val="single" w:color="auto" w:sz="4" w:space="0"/>
              <w:left w:val="single" w:color="auto" w:sz="4" w:space="0"/>
              <w:bottom w:val="single" w:color="auto" w:sz="4" w:space="0"/>
              <w:right w:val="single" w:color="auto" w:sz="4" w:space="0"/>
            </w:tcBorders>
            <w:vAlign w:val="center"/>
          </w:tcPr>
          <w:p w14:paraId="099EA098">
            <w:pPr>
              <w:ind w:left="141" w:leftChars="67" w:right="48" w:rightChars="23"/>
              <w:jc w:val="center"/>
              <w:rPr>
                <w:rFonts w:ascii="宋体" w:hAnsi="宋体"/>
                <w:color w:val="000000"/>
                <w:szCs w:val="21"/>
              </w:rPr>
            </w:pPr>
          </w:p>
        </w:tc>
        <w:tc>
          <w:tcPr>
            <w:tcW w:w="1315" w:type="dxa"/>
            <w:tcBorders>
              <w:top w:val="single" w:color="auto" w:sz="4" w:space="0"/>
              <w:left w:val="single" w:color="auto" w:sz="4" w:space="0"/>
              <w:bottom w:val="single" w:color="auto" w:sz="4" w:space="0"/>
              <w:right w:val="single" w:color="auto" w:sz="4" w:space="0"/>
            </w:tcBorders>
            <w:vAlign w:val="center"/>
          </w:tcPr>
          <w:p w14:paraId="3D2346C3">
            <w:pPr>
              <w:jc w:val="center"/>
              <w:rPr>
                <w:rFonts w:ascii="宋体" w:hAnsi="宋体"/>
                <w:color w:val="000000"/>
                <w:szCs w:val="21"/>
              </w:rPr>
            </w:pPr>
          </w:p>
        </w:tc>
        <w:tc>
          <w:tcPr>
            <w:tcW w:w="2651" w:type="dxa"/>
            <w:tcBorders>
              <w:top w:val="single" w:color="auto" w:sz="4" w:space="0"/>
              <w:left w:val="single" w:color="auto" w:sz="4" w:space="0"/>
              <w:bottom w:val="single" w:color="auto" w:sz="4" w:space="0"/>
              <w:right w:val="single" w:color="auto" w:sz="4" w:space="0"/>
            </w:tcBorders>
          </w:tcPr>
          <w:p w14:paraId="560E4A1C">
            <w:pPr>
              <w:jc w:val="right"/>
              <w:rPr>
                <w:rFonts w:ascii="宋体" w:hAnsi="宋体"/>
                <w:color w:val="000000"/>
                <w:szCs w:val="21"/>
              </w:rPr>
            </w:pPr>
          </w:p>
        </w:tc>
      </w:tr>
      <w:tr w14:paraId="35280228">
        <w:trPr>
          <w:cantSplit/>
          <w:trHeight w:val="1776" w:hRule="atLeast"/>
        </w:trPr>
        <w:tc>
          <w:tcPr>
            <w:tcW w:w="1806" w:type="dxa"/>
            <w:gridSpan w:val="2"/>
            <w:tcBorders>
              <w:top w:val="single" w:color="auto" w:sz="4" w:space="0"/>
              <w:left w:val="single" w:color="auto" w:sz="4" w:space="0"/>
              <w:bottom w:val="single" w:color="auto" w:sz="4" w:space="0"/>
              <w:right w:val="single" w:color="auto" w:sz="4" w:space="0"/>
            </w:tcBorders>
            <w:vAlign w:val="center"/>
          </w:tcPr>
          <w:p w14:paraId="4F6136DB">
            <w:pPr>
              <w:ind w:left="141" w:leftChars="67" w:right="48" w:rightChars="23"/>
              <w:rPr>
                <w:rFonts w:ascii="宋体" w:hAnsi="宋体"/>
                <w:color w:val="000000"/>
                <w:szCs w:val="21"/>
              </w:rPr>
            </w:pPr>
            <w:r>
              <w:rPr>
                <w:rFonts w:ascii="宋体" w:hAnsi="宋体"/>
                <w:color w:val="000000"/>
                <w:szCs w:val="21"/>
              </w:rPr>
              <w:t>5.2</w:t>
            </w:r>
            <w:r>
              <w:rPr>
                <w:rFonts w:hint="eastAsia" w:ascii="宋体" w:hAnsi="宋体"/>
                <w:color w:val="000000"/>
                <w:szCs w:val="21"/>
              </w:rPr>
              <w:t>试验、</w:t>
            </w:r>
            <w:r>
              <w:rPr>
                <w:rFonts w:ascii="宋体" w:hAnsi="宋体"/>
                <w:color w:val="000000"/>
                <w:szCs w:val="21"/>
              </w:rPr>
              <w:t xml:space="preserve"> 验证</w:t>
            </w:r>
            <w:r>
              <w:rPr>
                <w:rFonts w:hint="eastAsia" w:ascii="宋体" w:hAnsi="宋体"/>
                <w:color w:val="000000"/>
                <w:szCs w:val="21"/>
              </w:rPr>
              <w:t>、试行</w:t>
            </w:r>
            <w:r>
              <w:rPr>
                <w:rFonts w:ascii="宋体" w:hAnsi="宋体"/>
                <w:color w:val="000000"/>
                <w:szCs w:val="21"/>
              </w:rPr>
              <w:t>过程</w:t>
            </w:r>
          </w:p>
        </w:tc>
        <w:tc>
          <w:tcPr>
            <w:tcW w:w="7819" w:type="dxa"/>
            <w:gridSpan w:val="3"/>
            <w:tcBorders>
              <w:top w:val="single" w:color="auto" w:sz="4" w:space="0"/>
              <w:left w:val="single" w:color="auto" w:sz="4" w:space="0"/>
              <w:bottom w:val="single" w:color="auto" w:sz="4" w:space="0"/>
              <w:right w:val="single" w:color="auto" w:sz="4" w:space="0"/>
            </w:tcBorders>
            <w:vAlign w:val="center"/>
          </w:tcPr>
          <w:p w14:paraId="4610C057">
            <w:pPr>
              <w:rPr>
                <w:rFonts w:ascii="宋体" w:hAnsi="宋体"/>
                <w:color w:val="000000"/>
                <w:szCs w:val="21"/>
              </w:rPr>
            </w:pPr>
            <w:r>
              <w:rPr>
                <w:rFonts w:hint="eastAsia" w:ascii="宋体" w:hAnsi="宋体"/>
                <w:color w:val="000000"/>
                <w:szCs w:val="21"/>
              </w:rPr>
              <w:t>/</w:t>
            </w:r>
          </w:p>
        </w:tc>
      </w:tr>
      <w:tr w14:paraId="24345BAB">
        <w:trPr>
          <w:cantSplit/>
          <w:trHeight w:val="1698" w:hRule="atLeast"/>
        </w:trPr>
        <w:tc>
          <w:tcPr>
            <w:tcW w:w="1806" w:type="dxa"/>
            <w:gridSpan w:val="2"/>
            <w:tcBorders>
              <w:top w:val="single" w:color="auto" w:sz="4" w:space="0"/>
              <w:left w:val="single" w:color="auto" w:sz="4" w:space="0"/>
              <w:bottom w:val="single" w:color="auto" w:sz="4" w:space="0"/>
              <w:right w:val="single" w:color="auto" w:sz="4" w:space="0"/>
            </w:tcBorders>
            <w:vAlign w:val="center"/>
          </w:tcPr>
          <w:p w14:paraId="563FF885">
            <w:pPr>
              <w:ind w:left="141" w:leftChars="67" w:right="48" w:rightChars="23"/>
              <w:rPr>
                <w:rFonts w:ascii="宋体" w:hAnsi="宋体"/>
                <w:color w:val="000000"/>
                <w:szCs w:val="21"/>
              </w:rPr>
            </w:pPr>
            <w:r>
              <w:rPr>
                <w:rFonts w:ascii="宋体" w:hAnsi="宋体"/>
                <w:color w:val="000000"/>
                <w:szCs w:val="21"/>
              </w:rPr>
              <w:t>5.3 验证数据分析</w:t>
            </w:r>
          </w:p>
        </w:tc>
        <w:tc>
          <w:tcPr>
            <w:tcW w:w="7819" w:type="dxa"/>
            <w:gridSpan w:val="3"/>
            <w:tcBorders>
              <w:top w:val="single" w:color="auto" w:sz="4" w:space="0"/>
              <w:left w:val="single" w:color="auto" w:sz="4" w:space="0"/>
              <w:bottom w:val="single" w:color="auto" w:sz="4" w:space="0"/>
              <w:right w:val="single" w:color="auto" w:sz="4" w:space="0"/>
            </w:tcBorders>
            <w:vAlign w:val="center"/>
          </w:tcPr>
          <w:p w14:paraId="50D627A2">
            <w:pPr>
              <w:rPr>
                <w:rFonts w:ascii="宋体" w:hAnsi="宋体"/>
                <w:color w:val="000000"/>
                <w:szCs w:val="21"/>
              </w:rPr>
            </w:pPr>
            <w:r>
              <w:rPr>
                <w:rFonts w:hint="eastAsia" w:ascii="宋体" w:hAnsi="宋体"/>
                <w:color w:val="000000"/>
                <w:szCs w:val="21"/>
              </w:rPr>
              <w:t>/</w:t>
            </w:r>
          </w:p>
        </w:tc>
      </w:tr>
      <w:tr w14:paraId="7B4AD0C3">
        <w:trPr>
          <w:cantSplit/>
          <w:trHeight w:val="2505" w:hRule="atLeast"/>
        </w:trPr>
        <w:tc>
          <w:tcPr>
            <w:tcW w:w="1806" w:type="dxa"/>
            <w:gridSpan w:val="2"/>
            <w:tcBorders>
              <w:top w:val="single" w:color="auto" w:sz="4" w:space="0"/>
              <w:left w:val="single" w:color="auto" w:sz="4" w:space="0"/>
              <w:bottom w:val="single" w:color="auto" w:sz="4" w:space="0"/>
              <w:right w:val="single" w:color="auto" w:sz="4" w:space="0"/>
            </w:tcBorders>
            <w:vAlign w:val="center"/>
          </w:tcPr>
          <w:p w14:paraId="4345828F">
            <w:pPr>
              <w:ind w:left="141" w:leftChars="67" w:right="48" w:rightChars="23"/>
              <w:rPr>
                <w:rFonts w:ascii="宋体" w:hAnsi="宋体"/>
                <w:color w:val="000000"/>
                <w:szCs w:val="21"/>
              </w:rPr>
            </w:pPr>
            <w:r>
              <w:rPr>
                <w:rFonts w:ascii="宋体" w:hAnsi="宋体"/>
                <w:color w:val="000000"/>
                <w:szCs w:val="21"/>
              </w:rPr>
              <w:t xml:space="preserve">5.4 </w:t>
            </w:r>
            <w:r>
              <w:rPr>
                <w:rFonts w:hint="eastAsia" w:ascii="宋体" w:hAnsi="宋体"/>
                <w:color w:val="000000"/>
                <w:szCs w:val="21"/>
              </w:rPr>
              <w:t>试验、</w:t>
            </w:r>
            <w:r>
              <w:rPr>
                <w:rFonts w:ascii="宋体" w:hAnsi="宋体"/>
                <w:color w:val="000000"/>
                <w:szCs w:val="21"/>
              </w:rPr>
              <w:t>验证</w:t>
            </w:r>
            <w:r>
              <w:rPr>
                <w:rFonts w:hint="eastAsia" w:ascii="宋体" w:hAnsi="宋体"/>
                <w:color w:val="000000"/>
                <w:szCs w:val="21"/>
              </w:rPr>
              <w:t>、试行</w:t>
            </w:r>
            <w:r>
              <w:rPr>
                <w:rFonts w:ascii="宋体" w:hAnsi="宋体"/>
                <w:color w:val="000000"/>
                <w:szCs w:val="21"/>
              </w:rPr>
              <w:t>评价</w:t>
            </w:r>
          </w:p>
        </w:tc>
        <w:tc>
          <w:tcPr>
            <w:tcW w:w="7819" w:type="dxa"/>
            <w:gridSpan w:val="3"/>
            <w:tcBorders>
              <w:top w:val="single" w:color="auto" w:sz="4" w:space="0"/>
              <w:left w:val="single" w:color="auto" w:sz="4" w:space="0"/>
              <w:bottom w:val="single" w:color="auto" w:sz="4" w:space="0"/>
              <w:right w:val="single" w:color="auto" w:sz="4" w:space="0"/>
            </w:tcBorders>
            <w:vAlign w:val="center"/>
          </w:tcPr>
          <w:p w14:paraId="1EC4A6C4">
            <w:pPr>
              <w:rPr>
                <w:rFonts w:ascii="宋体" w:hAnsi="宋体"/>
                <w:color w:val="000000"/>
                <w:szCs w:val="21"/>
              </w:rPr>
            </w:pPr>
            <w:r>
              <w:rPr>
                <w:rFonts w:hint="eastAsia" w:ascii="宋体" w:hAnsi="宋体"/>
                <w:color w:val="000000"/>
                <w:szCs w:val="21"/>
              </w:rPr>
              <w:t>/</w:t>
            </w:r>
          </w:p>
        </w:tc>
      </w:tr>
      <w:tr w14:paraId="3FF24215">
        <w:trPr>
          <w:cantSplit/>
          <w:trHeight w:val="2026" w:hRule="atLeast"/>
        </w:trPr>
        <w:tc>
          <w:tcPr>
            <w:tcW w:w="1806" w:type="dxa"/>
            <w:gridSpan w:val="2"/>
            <w:tcBorders>
              <w:top w:val="single" w:color="auto" w:sz="4" w:space="0"/>
              <w:left w:val="single" w:color="auto" w:sz="4" w:space="0"/>
              <w:bottom w:val="single" w:color="auto" w:sz="4" w:space="0"/>
              <w:right w:val="single" w:color="auto" w:sz="4" w:space="0"/>
            </w:tcBorders>
            <w:vAlign w:val="center"/>
          </w:tcPr>
          <w:p w14:paraId="453D77F5">
            <w:pPr>
              <w:ind w:left="141" w:leftChars="67" w:right="48" w:rightChars="23"/>
              <w:rPr>
                <w:rFonts w:ascii="宋体" w:hAnsi="宋体"/>
                <w:color w:val="000000"/>
                <w:szCs w:val="21"/>
              </w:rPr>
            </w:pPr>
            <w:r>
              <w:rPr>
                <w:rFonts w:ascii="宋体" w:hAnsi="宋体"/>
                <w:color w:val="000000"/>
                <w:szCs w:val="21"/>
              </w:rPr>
              <w:t>5.5 其他应说明的情况</w:t>
            </w:r>
          </w:p>
        </w:tc>
        <w:tc>
          <w:tcPr>
            <w:tcW w:w="7819" w:type="dxa"/>
            <w:gridSpan w:val="3"/>
            <w:tcBorders>
              <w:top w:val="single" w:color="auto" w:sz="4" w:space="0"/>
              <w:left w:val="single" w:color="auto" w:sz="4" w:space="0"/>
              <w:bottom w:val="single" w:color="auto" w:sz="4" w:space="0"/>
              <w:right w:val="single" w:color="auto" w:sz="4" w:space="0"/>
            </w:tcBorders>
            <w:vAlign w:val="center"/>
          </w:tcPr>
          <w:p w14:paraId="612B2AB0">
            <w:pPr>
              <w:rPr>
                <w:rFonts w:ascii="宋体" w:hAnsi="宋体"/>
                <w:color w:val="000000"/>
                <w:szCs w:val="21"/>
              </w:rPr>
            </w:pPr>
            <w:r>
              <w:rPr>
                <w:rFonts w:hint="eastAsia" w:ascii="宋体" w:hAnsi="宋体"/>
                <w:color w:val="000000"/>
                <w:szCs w:val="21"/>
              </w:rPr>
              <w:t>/</w:t>
            </w:r>
          </w:p>
        </w:tc>
      </w:tr>
    </w:tbl>
    <w:p w14:paraId="44953044">
      <w:pPr>
        <w:rPr>
          <w:rFonts w:eastAsia="仿宋_GB2312"/>
          <w:b/>
          <w:color w:val="000000"/>
          <w:kern w:val="0"/>
          <w:sz w:val="32"/>
        </w:rPr>
      </w:pPr>
    </w:p>
    <w:p w14:paraId="5ADED4B6">
      <w:pPr>
        <w:rPr>
          <w:rFonts w:eastAsia="仿宋_GB2312"/>
          <w:b/>
          <w:color w:val="000000"/>
          <w:kern w:val="0"/>
          <w:sz w:val="32"/>
        </w:rPr>
      </w:pPr>
    </w:p>
    <w:p w14:paraId="53ADC288">
      <w:pPr>
        <w:rPr>
          <w:rFonts w:eastAsia="仿宋_GB2312"/>
          <w:b/>
          <w:color w:val="000000"/>
          <w:kern w:val="0"/>
          <w:sz w:val="32"/>
        </w:rPr>
      </w:pPr>
    </w:p>
    <w:tbl>
      <w:tblPr>
        <w:tblStyle w:val="38"/>
        <w:tblpPr w:leftFromText="180" w:rightFromText="180" w:vertAnchor="text" w:horzAnchor="margin" w:tblpXSpec="center" w:tblpY="169"/>
        <w:tblW w:w="962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794"/>
        <w:gridCol w:w="6"/>
        <w:gridCol w:w="1288"/>
        <w:gridCol w:w="1080"/>
        <w:gridCol w:w="1620"/>
        <w:gridCol w:w="1440"/>
        <w:gridCol w:w="2397"/>
      </w:tblGrid>
      <w:tr w14:paraId="76FD15C0">
        <w:trPr>
          <w:cantSplit/>
          <w:trHeight w:val="458" w:hRule="atLeast"/>
        </w:trPr>
        <w:tc>
          <w:tcPr>
            <w:tcW w:w="9625" w:type="dxa"/>
            <w:gridSpan w:val="7"/>
            <w:tcBorders>
              <w:top w:val="nil"/>
              <w:left w:val="nil"/>
              <w:bottom w:val="nil"/>
              <w:right w:val="nil"/>
            </w:tcBorders>
            <w:vAlign w:val="center"/>
          </w:tcPr>
          <w:p w14:paraId="3FE4ABC7">
            <w:pPr>
              <w:rPr>
                <w:rFonts w:ascii="宋体" w:hAnsi="宋体"/>
                <w:b/>
                <w:color w:val="000000"/>
                <w:szCs w:val="21"/>
              </w:rPr>
            </w:pPr>
            <w:r>
              <w:rPr>
                <w:rFonts w:hint="eastAsia" w:ascii="宋体" w:hAnsi="宋体"/>
                <w:b/>
                <w:color w:val="000000"/>
                <w:szCs w:val="21"/>
              </w:rPr>
              <w:t>6  附加说明（可选项）</w:t>
            </w:r>
          </w:p>
        </w:tc>
      </w:tr>
      <w:tr w14:paraId="202239FD">
        <w:trPr>
          <w:cantSplit/>
          <w:trHeight w:val="1701" w:hRule="atLeast"/>
        </w:trPr>
        <w:tc>
          <w:tcPr>
            <w:tcW w:w="1794" w:type="dxa"/>
            <w:tcBorders>
              <w:top w:val="single" w:color="auto" w:sz="4" w:space="0"/>
              <w:left w:val="single" w:color="auto" w:sz="4" w:space="0"/>
              <w:bottom w:val="single" w:color="auto" w:sz="4" w:space="0"/>
              <w:right w:val="single" w:color="auto" w:sz="4" w:space="0"/>
            </w:tcBorders>
            <w:vAlign w:val="center"/>
          </w:tcPr>
          <w:p w14:paraId="0190C39A">
            <w:pPr>
              <w:ind w:left="141" w:leftChars="67" w:right="176" w:rightChars="84"/>
              <w:rPr>
                <w:rFonts w:ascii="宋体" w:hAnsi="宋体"/>
                <w:color w:val="000000"/>
                <w:szCs w:val="21"/>
              </w:rPr>
            </w:pPr>
            <w:r>
              <w:rPr>
                <w:rFonts w:ascii="宋体" w:hAnsi="宋体"/>
                <w:color w:val="000000"/>
                <w:szCs w:val="21"/>
              </w:rPr>
              <w:t>6.1 宣贯标准的建议</w:t>
            </w:r>
          </w:p>
        </w:tc>
        <w:tc>
          <w:tcPr>
            <w:tcW w:w="7831" w:type="dxa"/>
            <w:gridSpan w:val="6"/>
            <w:tcBorders>
              <w:top w:val="single" w:color="auto" w:sz="4" w:space="0"/>
              <w:left w:val="single" w:color="auto" w:sz="4" w:space="0"/>
              <w:bottom w:val="single" w:color="auto" w:sz="4" w:space="0"/>
              <w:right w:val="single" w:color="auto" w:sz="4" w:space="0"/>
            </w:tcBorders>
            <w:vAlign w:val="center"/>
          </w:tcPr>
          <w:p w14:paraId="1C38FDE0">
            <w:pPr>
              <w:rPr>
                <w:rFonts w:ascii="宋体" w:hAnsi="宋体"/>
                <w:color w:val="000000"/>
                <w:szCs w:val="21"/>
              </w:rPr>
            </w:pPr>
            <w:r>
              <w:rPr>
                <w:rFonts w:hint="eastAsia" w:ascii="宋体" w:hAnsi="宋体"/>
                <w:color w:val="000000"/>
                <w:szCs w:val="21"/>
              </w:rPr>
              <w:t>/</w:t>
            </w:r>
          </w:p>
        </w:tc>
      </w:tr>
      <w:tr w14:paraId="372D4B62">
        <w:trPr>
          <w:cantSplit/>
          <w:trHeight w:val="1838" w:hRule="atLeast"/>
        </w:trPr>
        <w:tc>
          <w:tcPr>
            <w:tcW w:w="1794" w:type="dxa"/>
            <w:tcBorders>
              <w:top w:val="single" w:color="auto" w:sz="4" w:space="0"/>
              <w:left w:val="single" w:color="auto" w:sz="4" w:space="0"/>
              <w:bottom w:val="single" w:color="auto" w:sz="4" w:space="0"/>
              <w:right w:val="single" w:color="auto" w:sz="4" w:space="0"/>
            </w:tcBorders>
            <w:vAlign w:val="center"/>
          </w:tcPr>
          <w:p w14:paraId="0BD59873">
            <w:pPr>
              <w:ind w:left="141" w:leftChars="67" w:right="176" w:rightChars="84"/>
              <w:rPr>
                <w:rFonts w:ascii="宋体" w:hAnsi="宋体"/>
                <w:color w:val="000000"/>
                <w:szCs w:val="21"/>
              </w:rPr>
            </w:pPr>
            <w:r>
              <w:rPr>
                <w:rFonts w:ascii="宋体" w:hAnsi="宋体"/>
                <w:color w:val="000000"/>
                <w:szCs w:val="21"/>
              </w:rPr>
              <w:t>6.2 修订和废除现行有关标准的建议</w:t>
            </w:r>
          </w:p>
        </w:tc>
        <w:tc>
          <w:tcPr>
            <w:tcW w:w="7831" w:type="dxa"/>
            <w:gridSpan w:val="6"/>
            <w:tcBorders>
              <w:top w:val="single" w:color="auto" w:sz="4" w:space="0"/>
              <w:left w:val="single" w:color="auto" w:sz="4" w:space="0"/>
              <w:bottom w:val="single" w:color="auto" w:sz="4" w:space="0"/>
              <w:right w:val="single" w:color="auto" w:sz="4" w:space="0"/>
            </w:tcBorders>
            <w:vAlign w:val="center"/>
          </w:tcPr>
          <w:p w14:paraId="73EE36B5">
            <w:pPr>
              <w:rPr>
                <w:rFonts w:ascii="宋体" w:hAnsi="宋体"/>
                <w:color w:val="000000"/>
                <w:szCs w:val="21"/>
              </w:rPr>
            </w:pPr>
            <w:r>
              <w:rPr>
                <w:rFonts w:hint="eastAsia" w:ascii="宋体" w:hAnsi="宋体"/>
                <w:color w:val="000000"/>
                <w:szCs w:val="21"/>
              </w:rPr>
              <w:t>/</w:t>
            </w:r>
          </w:p>
        </w:tc>
      </w:tr>
      <w:tr w14:paraId="2BAF58B8">
        <w:trPr>
          <w:cantSplit/>
          <w:trHeight w:val="1734" w:hRule="atLeast"/>
        </w:trPr>
        <w:tc>
          <w:tcPr>
            <w:tcW w:w="1794" w:type="dxa"/>
            <w:tcBorders>
              <w:top w:val="single" w:color="auto" w:sz="4" w:space="0"/>
              <w:left w:val="single" w:color="auto" w:sz="4" w:space="0"/>
              <w:bottom w:val="single" w:color="auto" w:sz="4" w:space="0"/>
              <w:right w:val="single" w:color="auto" w:sz="4" w:space="0"/>
            </w:tcBorders>
            <w:vAlign w:val="center"/>
          </w:tcPr>
          <w:p w14:paraId="1D44CC27">
            <w:pPr>
              <w:ind w:left="141" w:leftChars="67" w:right="176" w:rightChars="84"/>
              <w:rPr>
                <w:rFonts w:ascii="宋体" w:hAnsi="宋体"/>
                <w:color w:val="000000"/>
                <w:szCs w:val="21"/>
              </w:rPr>
            </w:pPr>
            <w:r>
              <w:rPr>
                <w:rFonts w:ascii="宋体" w:hAnsi="宋体"/>
                <w:color w:val="000000"/>
                <w:szCs w:val="21"/>
              </w:rPr>
              <w:t>6.</w:t>
            </w:r>
            <w:r>
              <w:rPr>
                <w:rFonts w:hint="eastAsia" w:ascii="宋体" w:hAnsi="宋体"/>
                <w:color w:val="000000"/>
                <w:szCs w:val="21"/>
              </w:rPr>
              <w:t>3重大分歧意见的处理经过和依据</w:t>
            </w:r>
          </w:p>
        </w:tc>
        <w:tc>
          <w:tcPr>
            <w:tcW w:w="7831" w:type="dxa"/>
            <w:gridSpan w:val="6"/>
            <w:tcBorders>
              <w:top w:val="single" w:color="auto" w:sz="4" w:space="0"/>
              <w:left w:val="single" w:color="auto" w:sz="4" w:space="0"/>
              <w:bottom w:val="single" w:color="auto" w:sz="4" w:space="0"/>
              <w:right w:val="single" w:color="auto" w:sz="4" w:space="0"/>
            </w:tcBorders>
            <w:vAlign w:val="center"/>
          </w:tcPr>
          <w:p w14:paraId="3DEC4F33">
            <w:pPr>
              <w:rPr>
                <w:rFonts w:ascii="宋体" w:hAnsi="宋体"/>
                <w:color w:val="000000"/>
                <w:szCs w:val="21"/>
              </w:rPr>
            </w:pPr>
            <w:r>
              <w:rPr>
                <w:rFonts w:hint="eastAsia" w:ascii="宋体" w:hAnsi="宋体"/>
                <w:color w:val="000000"/>
                <w:szCs w:val="21"/>
              </w:rPr>
              <w:t>/</w:t>
            </w:r>
          </w:p>
        </w:tc>
      </w:tr>
      <w:tr w14:paraId="6C176C37">
        <w:trPr>
          <w:cantSplit/>
          <w:trHeight w:val="1670" w:hRule="atLeast"/>
        </w:trPr>
        <w:tc>
          <w:tcPr>
            <w:tcW w:w="1794" w:type="dxa"/>
            <w:tcBorders>
              <w:top w:val="single" w:color="auto" w:sz="4" w:space="0"/>
              <w:left w:val="single" w:color="auto" w:sz="4" w:space="0"/>
              <w:bottom w:val="single" w:color="auto" w:sz="4" w:space="0"/>
              <w:right w:val="single" w:color="auto" w:sz="4" w:space="0"/>
            </w:tcBorders>
            <w:vAlign w:val="center"/>
          </w:tcPr>
          <w:p w14:paraId="0C0EDDFE">
            <w:pPr>
              <w:ind w:left="141" w:leftChars="67" w:right="176" w:rightChars="84"/>
              <w:rPr>
                <w:rFonts w:ascii="宋体" w:hAnsi="宋体"/>
                <w:color w:val="000000"/>
                <w:szCs w:val="21"/>
              </w:rPr>
            </w:pPr>
            <w:r>
              <w:rPr>
                <w:rFonts w:ascii="宋体" w:hAnsi="宋体"/>
                <w:color w:val="000000"/>
                <w:szCs w:val="21"/>
              </w:rPr>
              <w:t>6.4 其他需要说明的情况</w:t>
            </w:r>
          </w:p>
        </w:tc>
        <w:tc>
          <w:tcPr>
            <w:tcW w:w="7831" w:type="dxa"/>
            <w:gridSpan w:val="6"/>
            <w:tcBorders>
              <w:top w:val="single" w:color="auto" w:sz="4" w:space="0"/>
              <w:left w:val="single" w:color="auto" w:sz="4" w:space="0"/>
              <w:bottom w:val="single" w:color="auto" w:sz="4" w:space="0"/>
              <w:right w:val="single" w:color="auto" w:sz="4" w:space="0"/>
            </w:tcBorders>
            <w:vAlign w:val="center"/>
          </w:tcPr>
          <w:p w14:paraId="5AD03833">
            <w:pPr>
              <w:rPr>
                <w:rFonts w:ascii="宋体" w:hAnsi="宋体"/>
                <w:color w:val="000000"/>
                <w:szCs w:val="21"/>
              </w:rPr>
            </w:pPr>
            <w:r>
              <w:rPr>
                <w:rFonts w:hint="eastAsia" w:ascii="宋体" w:hAnsi="宋体"/>
                <w:color w:val="000000"/>
                <w:szCs w:val="21"/>
              </w:rPr>
              <w:t>/</w:t>
            </w:r>
          </w:p>
        </w:tc>
      </w:tr>
      <w:tr w14:paraId="08BA36E5">
        <w:trPr>
          <w:cantSplit/>
          <w:trHeight w:val="1721" w:hRule="atLeast"/>
        </w:trPr>
        <w:tc>
          <w:tcPr>
            <w:tcW w:w="1794" w:type="dxa"/>
            <w:tcBorders>
              <w:top w:val="single" w:color="auto" w:sz="4" w:space="0"/>
              <w:left w:val="single" w:color="auto" w:sz="4" w:space="0"/>
              <w:bottom w:val="single" w:color="auto" w:sz="4" w:space="0"/>
              <w:right w:val="single" w:color="auto" w:sz="4" w:space="0"/>
            </w:tcBorders>
            <w:vAlign w:val="center"/>
          </w:tcPr>
          <w:p w14:paraId="7280A506">
            <w:pPr>
              <w:ind w:left="141" w:leftChars="67" w:right="176" w:rightChars="84"/>
              <w:rPr>
                <w:rFonts w:ascii="宋体" w:hAnsi="宋体"/>
                <w:color w:val="000000"/>
                <w:szCs w:val="21"/>
              </w:rPr>
            </w:pPr>
            <w:r>
              <w:rPr>
                <w:rFonts w:ascii="宋体" w:hAnsi="宋体"/>
                <w:color w:val="000000"/>
                <w:szCs w:val="21"/>
              </w:rPr>
              <w:t>6.5 参考文献</w:t>
            </w:r>
          </w:p>
        </w:tc>
        <w:tc>
          <w:tcPr>
            <w:tcW w:w="7831" w:type="dxa"/>
            <w:gridSpan w:val="6"/>
            <w:tcBorders>
              <w:top w:val="single" w:color="auto" w:sz="4" w:space="0"/>
              <w:left w:val="single" w:color="auto" w:sz="4" w:space="0"/>
              <w:bottom w:val="single" w:color="auto" w:sz="4" w:space="0"/>
              <w:right w:val="single" w:color="auto" w:sz="4" w:space="0"/>
            </w:tcBorders>
            <w:vAlign w:val="center"/>
          </w:tcPr>
          <w:p w14:paraId="2E63FFD7">
            <w:pPr>
              <w:rPr>
                <w:rFonts w:ascii="宋体" w:hAnsi="宋体"/>
                <w:color w:val="000000"/>
                <w:szCs w:val="21"/>
              </w:rPr>
            </w:pPr>
            <w:r>
              <w:rPr>
                <w:rFonts w:hint="eastAsia" w:ascii="宋体" w:hAnsi="宋体"/>
                <w:color w:val="000000"/>
                <w:szCs w:val="21"/>
              </w:rPr>
              <w:t>/</w:t>
            </w:r>
          </w:p>
        </w:tc>
      </w:tr>
      <w:tr w14:paraId="629964D5">
        <w:trPr>
          <w:cantSplit/>
          <w:trHeight w:val="495" w:hRule="atLeast"/>
        </w:trPr>
        <w:tc>
          <w:tcPr>
            <w:tcW w:w="1800" w:type="dxa"/>
            <w:gridSpan w:val="2"/>
            <w:tcBorders>
              <w:top w:val="single" w:color="auto" w:sz="4" w:space="0"/>
              <w:left w:val="single" w:color="auto" w:sz="4" w:space="0"/>
              <w:bottom w:val="single" w:color="auto" w:sz="4" w:space="0"/>
              <w:right w:val="single" w:color="auto" w:sz="4" w:space="0"/>
            </w:tcBorders>
            <w:vAlign w:val="center"/>
          </w:tcPr>
          <w:p w14:paraId="0124D247">
            <w:pPr>
              <w:jc w:val="center"/>
              <w:rPr>
                <w:rFonts w:ascii="宋体" w:hAnsi="宋体"/>
                <w:color w:val="000000"/>
                <w:szCs w:val="21"/>
              </w:rPr>
            </w:pPr>
            <w:r>
              <w:rPr>
                <w:rFonts w:ascii="宋体" w:hAnsi="宋体"/>
                <w:color w:val="000000"/>
                <w:szCs w:val="21"/>
              </w:rPr>
              <w:t>联系人</w:t>
            </w:r>
          </w:p>
        </w:tc>
        <w:tc>
          <w:tcPr>
            <w:tcW w:w="1288" w:type="dxa"/>
            <w:tcBorders>
              <w:top w:val="single" w:color="auto" w:sz="4" w:space="0"/>
              <w:left w:val="single" w:color="auto" w:sz="4" w:space="0"/>
              <w:bottom w:val="single" w:color="auto" w:sz="4" w:space="0"/>
              <w:right w:val="single" w:color="auto" w:sz="4" w:space="0"/>
            </w:tcBorders>
            <w:vAlign w:val="center"/>
          </w:tcPr>
          <w:p w14:paraId="1DE7999F">
            <w:pPr>
              <w:jc w:val="center"/>
              <w:rPr>
                <w:rFonts w:ascii="宋体" w:hAnsi="宋体"/>
                <w:color w:val="000000"/>
                <w:szCs w:val="21"/>
              </w:rPr>
            </w:pPr>
            <w:r>
              <w:rPr>
                <w:rFonts w:hint="eastAsia" w:ascii="宋体" w:hAnsi="宋体"/>
                <w:color w:val="000000"/>
                <w:szCs w:val="21"/>
              </w:rPr>
              <w:t>张剑</w:t>
            </w:r>
          </w:p>
        </w:tc>
        <w:tc>
          <w:tcPr>
            <w:tcW w:w="1080" w:type="dxa"/>
            <w:tcBorders>
              <w:top w:val="single" w:color="auto" w:sz="4" w:space="0"/>
              <w:left w:val="single" w:color="auto" w:sz="4" w:space="0"/>
              <w:bottom w:val="single" w:color="auto" w:sz="4" w:space="0"/>
              <w:right w:val="single" w:color="auto" w:sz="4" w:space="0"/>
            </w:tcBorders>
            <w:vAlign w:val="center"/>
          </w:tcPr>
          <w:p w14:paraId="61EF3788">
            <w:pPr>
              <w:jc w:val="center"/>
              <w:rPr>
                <w:rFonts w:ascii="宋体" w:hAnsi="宋体"/>
                <w:color w:val="000000"/>
                <w:szCs w:val="21"/>
              </w:rPr>
            </w:pPr>
            <w:r>
              <w:rPr>
                <w:rFonts w:ascii="宋体" w:hAnsi="宋体"/>
                <w:color w:val="000000"/>
                <w:szCs w:val="21"/>
              </w:rPr>
              <w:t>联系电话</w:t>
            </w:r>
          </w:p>
        </w:tc>
        <w:tc>
          <w:tcPr>
            <w:tcW w:w="1620" w:type="dxa"/>
            <w:tcBorders>
              <w:top w:val="single" w:color="auto" w:sz="4" w:space="0"/>
              <w:left w:val="single" w:color="auto" w:sz="4" w:space="0"/>
              <w:bottom w:val="single" w:color="auto" w:sz="4" w:space="0"/>
              <w:right w:val="single" w:color="auto" w:sz="4" w:space="0"/>
            </w:tcBorders>
            <w:vAlign w:val="center"/>
          </w:tcPr>
          <w:p w14:paraId="19FBECF3">
            <w:pPr>
              <w:jc w:val="center"/>
              <w:rPr>
                <w:rFonts w:ascii="宋体" w:hAnsi="宋体"/>
                <w:color w:val="000000"/>
                <w:szCs w:val="21"/>
              </w:rPr>
            </w:pPr>
            <w:r>
              <w:rPr>
                <w:rFonts w:hint="eastAsia" w:ascii="宋体" w:hAnsi="宋体"/>
                <w:color w:val="000000"/>
                <w:szCs w:val="21"/>
              </w:rPr>
              <w:t>010-82261545</w:t>
            </w:r>
          </w:p>
        </w:tc>
        <w:tc>
          <w:tcPr>
            <w:tcW w:w="1440" w:type="dxa"/>
            <w:tcBorders>
              <w:top w:val="single" w:color="auto" w:sz="4" w:space="0"/>
              <w:left w:val="single" w:color="auto" w:sz="4" w:space="0"/>
              <w:bottom w:val="single" w:color="auto" w:sz="4" w:space="0"/>
              <w:right w:val="single" w:color="auto" w:sz="4" w:space="0"/>
            </w:tcBorders>
            <w:vAlign w:val="center"/>
          </w:tcPr>
          <w:p w14:paraId="188107D0">
            <w:pPr>
              <w:jc w:val="center"/>
              <w:rPr>
                <w:rFonts w:ascii="宋体" w:hAnsi="宋体"/>
                <w:color w:val="000000"/>
                <w:szCs w:val="21"/>
              </w:rPr>
            </w:pPr>
            <w:r>
              <w:rPr>
                <w:rFonts w:ascii="宋体" w:hAnsi="宋体"/>
                <w:color w:val="000000"/>
                <w:szCs w:val="21"/>
              </w:rPr>
              <w:t>电子邮箱</w:t>
            </w:r>
          </w:p>
        </w:tc>
        <w:tc>
          <w:tcPr>
            <w:tcW w:w="2397" w:type="dxa"/>
            <w:tcBorders>
              <w:top w:val="single" w:color="auto" w:sz="4" w:space="0"/>
              <w:left w:val="single" w:color="auto" w:sz="4" w:space="0"/>
              <w:bottom w:val="single" w:color="auto" w:sz="4" w:space="0"/>
              <w:right w:val="single" w:color="auto" w:sz="4" w:space="0"/>
            </w:tcBorders>
            <w:vAlign w:val="center"/>
          </w:tcPr>
          <w:p w14:paraId="0E57FA25">
            <w:pPr>
              <w:jc w:val="center"/>
              <w:rPr>
                <w:rFonts w:asciiTheme="majorEastAsia" w:hAnsiTheme="majorEastAsia" w:eastAsiaTheme="majorEastAsia"/>
                <w:color w:val="000000"/>
                <w:szCs w:val="21"/>
              </w:rPr>
            </w:pPr>
            <w:r>
              <w:rPr>
                <w:rFonts w:hint="eastAsia" w:asciiTheme="majorEastAsia" w:hAnsiTheme="majorEastAsia" w:eastAsiaTheme="majorEastAsia"/>
              </w:rPr>
              <w:t>zhangjian@samr.gov.cn</w:t>
            </w:r>
          </w:p>
        </w:tc>
      </w:tr>
      <w:tr w14:paraId="32984659">
        <w:trPr>
          <w:cantSplit/>
          <w:trHeight w:val="495" w:hRule="atLeast"/>
        </w:trPr>
        <w:tc>
          <w:tcPr>
            <w:tcW w:w="9625" w:type="dxa"/>
            <w:gridSpan w:val="7"/>
            <w:tcBorders>
              <w:top w:val="single" w:color="auto" w:sz="4" w:space="0"/>
              <w:left w:val="single" w:color="auto" w:sz="4" w:space="0"/>
              <w:bottom w:val="single" w:color="auto" w:sz="4" w:space="0"/>
              <w:right w:val="single" w:color="auto" w:sz="4" w:space="0"/>
            </w:tcBorders>
            <w:vAlign w:val="center"/>
          </w:tcPr>
          <w:p w14:paraId="33A80B0B">
            <w:pPr>
              <w:adjustRightInd w:val="0"/>
              <w:spacing w:before="60" w:line="360" w:lineRule="auto"/>
              <w:ind w:firstLine="441" w:firstLineChars="210"/>
              <w:rPr>
                <w:rFonts w:ascii="宋体" w:hAnsi="宋体"/>
                <w:color w:val="000000"/>
                <w:szCs w:val="21"/>
              </w:rPr>
            </w:pPr>
            <w:r>
              <w:rPr>
                <w:rFonts w:ascii="宋体" w:hAnsi="宋体"/>
                <w:color w:val="000000"/>
                <w:szCs w:val="21"/>
              </w:rPr>
              <w:t>注1：本</w:t>
            </w:r>
            <w:r>
              <w:rPr>
                <w:rFonts w:hint="eastAsia" w:ascii="宋体" w:hAnsi="宋体"/>
                <w:color w:val="000000"/>
                <w:szCs w:val="21"/>
              </w:rPr>
              <w:t>格式</w:t>
            </w:r>
            <w:r>
              <w:rPr>
                <w:rFonts w:ascii="宋体" w:hAnsi="宋体"/>
                <w:color w:val="000000"/>
                <w:szCs w:val="21"/>
              </w:rPr>
              <w:t>的</w:t>
            </w:r>
            <w:r>
              <w:rPr>
                <w:rFonts w:hint="eastAsia" w:ascii="宋体" w:hAnsi="宋体"/>
                <w:color w:val="000000"/>
                <w:szCs w:val="21"/>
              </w:rPr>
              <w:t>通用</w:t>
            </w:r>
            <w:r>
              <w:rPr>
                <w:rFonts w:ascii="宋体" w:hAnsi="宋体"/>
                <w:color w:val="000000"/>
                <w:szCs w:val="21"/>
              </w:rPr>
              <w:t>部分为第1章、第2章、第4章和第6章。</w:t>
            </w:r>
          </w:p>
          <w:p w14:paraId="72502E1A">
            <w:pPr>
              <w:adjustRightInd w:val="0"/>
              <w:spacing w:before="60" w:line="360" w:lineRule="auto"/>
              <w:ind w:firstLine="441" w:firstLineChars="210"/>
              <w:rPr>
                <w:rFonts w:ascii="宋体" w:hAnsi="宋体"/>
                <w:color w:val="000000"/>
                <w:szCs w:val="21"/>
              </w:rPr>
            </w:pPr>
            <w:r>
              <w:rPr>
                <w:rFonts w:ascii="宋体" w:hAnsi="宋体"/>
                <w:color w:val="000000"/>
                <w:szCs w:val="21"/>
              </w:rPr>
              <w:t>注2：3.4适用于标准草案送审稿，3.5适用于标准草案报批稿，3.6中</w:t>
            </w:r>
            <w:r>
              <w:rPr>
                <w:rFonts w:hint="eastAsia" w:ascii="宋体" w:hAnsi="宋体"/>
                <w:color w:val="000000"/>
                <w:szCs w:val="21"/>
              </w:rPr>
              <w:t>“</w:t>
            </w:r>
            <w:r>
              <w:rPr>
                <w:rFonts w:ascii="宋体" w:hAnsi="宋体"/>
                <w:color w:val="000000"/>
                <w:szCs w:val="21"/>
              </w:rPr>
              <w:t>预期的管理目标</w:t>
            </w:r>
            <w:r>
              <w:rPr>
                <w:rFonts w:hint="eastAsia" w:ascii="宋体" w:hAnsi="宋体"/>
                <w:color w:val="000000"/>
                <w:szCs w:val="21"/>
              </w:rPr>
              <w:t>”</w:t>
            </w:r>
            <w:r>
              <w:rPr>
                <w:rFonts w:ascii="宋体" w:hAnsi="宋体"/>
                <w:color w:val="000000"/>
                <w:szCs w:val="21"/>
              </w:rPr>
              <w:t>适用于规程类标准，3.6中</w:t>
            </w:r>
            <w:r>
              <w:rPr>
                <w:rFonts w:hint="eastAsia" w:ascii="宋体" w:hAnsi="宋体"/>
                <w:color w:val="000000"/>
                <w:szCs w:val="21"/>
              </w:rPr>
              <w:t>“</w:t>
            </w:r>
            <w:r>
              <w:rPr>
                <w:rFonts w:ascii="宋体" w:hAnsi="宋体"/>
                <w:color w:val="000000"/>
                <w:szCs w:val="21"/>
              </w:rPr>
              <w:t>技术指标</w:t>
            </w:r>
            <w:r>
              <w:rPr>
                <w:rFonts w:hint="eastAsia" w:ascii="宋体" w:hAnsi="宋体"/>
                <w:color w:val="000000"/>
                <w:szCs w:val="21"/>
              </w:rPr>
              <w:t>”</w:t>
            </w:r>
            <w:r>
              <w:rPr>
                <w:rFonts w:ascii="宋体" w:hAnsi="宋体"/>
                <w:color w:val="000000"/>
                <w:szCs w:val="21"/>
              </w:rPr>
              <w:t>适用于方法类标准，第5章适用于方法类标准编制说明的编写。</w:t>
            </w:r>
          </w:p>
          <w:p w14:paraId="6162DBCA">
            <w:pPr>
              <w:adjustRightInd w:val="0"/>
              <w:spacing w:before="60" w:line="360" w:lineRule="auto"/>
              <w:ind w:firstLine="441" w:firstLineChars="210"/>
              <w:rPr>
                <w:rFonts w:ascii="宋体" w:hAnsi="宋体"/>
                <w:color w:val="000000"/>
                <w:szCs w:val="21"/>
              </w:rPr>
            </w:pPr>
            <w:r>
              <w:rPr>
                <w:rFonts w:ascii="宋体" w:hAnsi="宋体"/>
                <w:color w:val="000000"/>
                <w:szCs w:val="21"/>
              </w:rPr>
              <w:t>注3：3.1和第6章为可选项，其余为必填项。</w:t>
            </w:r>
          </w:p>
        </w:tc>
      </w:tr>
      <w:tr w14:paraId="25FF567A">
        <w:trPr>
          <w:cantSplit/>
          <w:trHeight w:val="495" w:hRule="atLeast"/>
        </w:trPr>
        <w:tc>
          <w:tcPr>
            <w:tcW w:w="9625" w:type="dxa"/>
            <w:gridSpan w:val="7"/>
            <w:tcBorders>
              <w:top w:val="single" w:color="auto" w:sz="4" w:space="0"/>
              <w:left w:val="nil"/>
              <w:bottom w:val="nil"/>
              <w:right w:val="nil"/>
            </w:tcBorders>
            <w:vAlign w:val="center"/>
          </w:tcPr>
          <w:p w14:paraId="5AFF80F0">
            <w:pPr>
              <w:wordWrap w:val="0"/>
              <w:ind w:right="480"/>
              <w:jc w:val="right"/>
              <w:rPr>
                <w:rFonts w:ascii="宋体" w:hAnsi="宋体"/>
                <w:color w:val="000000"/>
                <w:szCs w:val="21"/>
              </w:rPr>
            </w:pPr>
            <w:r>
              <w:rPr>
                <w:rFonts w:ascii="宋体" w:hAnsi="宋体"/>
                <w:color w:val="000000"/>
                <w:szCs w:val="21"/>
              </w:rPr>
              <w:t>编写日期：</w:t>
            </w:r>
            <w:r>
              <w:rPr>
                <w:rFonts w:hint="eastAsia" w:ascii="宋体" w:hAnsi="宋体"/>
                <w:color w:val="000000"/>
                <w:szCs w:val="21"/>
              </w:rPr>
              <w:t>2026</w:t>
            </w:r>
            <w:r>
              <w:rPr>
                <w:rFonts w:ascii="宋体" w:hAnsi="宋体"/>
                <w:color w:val="000000"/>
                <w:szCs w:val="21"/>
              </w:rPr>
              <w:t>年</w:t>
            </w:r>
            <w:r>
              <w:rPr>
                <w:rFonts w:hint="eastAsia" w:ascii="宋体" w:hAnsi="宋体"/>
                <w:color w:val="000000"/>
                <w:szCs w:val="21"/>
              </w:rPr>
              <w:t>10</w:t>
            </w:r>
            <w:r>
              <w:rPr>
                <w:rFonts w:ascii="宋体" w:hAnsi="宋体"/>
                <w:color w:val="000000"/>
                <w:szCs w:val="21"/>
              </w:rPr>
              <w:t>月</w:t>
            </w:r>
            <w:r>
              <w:rPr>
                <w:rFonts w:hint="eastAsia" w:ascii="宋体" w:hAnsi="宋体"/>
                <w:color w:val="000000"/>
                <w:szCs w:val="21"/>
              </w:rPr>
              <w:t>26</w:t>
            </w:r>
            <w:r>
              <w:rPr>
                <w:rFonts w:ascii="宋体" w:hAnsi="宋体"/>
                <w:color w:val="000000"/>
                <w:szCs w:val="21"/>
              </w:rPr>
              <w:t>日</w:t>
            </w:r>
          </w:p>
        </w:tc>
      </w:tr>
    </w:tbl>
    <w:p w14:paraId="456F5473">
      <w:pPr>
        <w:rPr>
          <w:rFonts w:eastAsia="方正仿宋简体"/>
          <w:b/>
          <w:snapToGrid w:val="0"/>
          <w:color w:val="000000"/>
          <w:kern w:val="0"/>
          <w:sz w:val="32"/>
          <w:szCs w:val="32"/>
        </w:rPr>
      </w:pPr>
    </w:p>
    <w:sectPr>
      <w:footerReference r:id="rId6" w:type="first"/>
      <w:headerReference r:id="rId3" w:type="default"/>
      <w:footerReference r:id="rId4" w:type="default"/>
      <w:footerReference r:id="rId5" w:type="even"/>
      <w:pgSz w:w="11907" w:h="16840"/>
      <w:pgMar w:top="1758" w:right="1418" w:bottom="1758" w:left="1418" w:header="851" w:footer="1134" w:gutter="0"/>
      <w:pgNumType w:start="1"/>
      <w:cols w:space="720" w:num="1"/>
      <w:titlePg/>
      <w:docGrid w:linePitch="291" w:charSpace="-378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7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Courier New">
    <w:panose1 w:val="020706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Arial">
    <w:panose1 w:val="020B0704020202020204"/>
    <w:charset w:val="00"/>
    <w:family w:val="swiss"/>
    <w:pitch w:val="default"/>
    <w:sig w:usb0="E0002AFF" w:usb1="C0007843" w:usb2="00000009" w:usb3="00000000" w:csb0="400001FF" w:csb1="FFFF0000"/>
  </w:font>
  <w:font w:name="黑体">
    <w:altName w:val="汉仪中黑KW"/>
    <w:panose1 w:val="00000000000000000000"/>
    <w:charset w:val="00"/>
    <w:family w:val="auto"/>
    <w:pitch w:val="default"/>
    <w:sig w:usb0="00000000" w:usb1="00000000" w:usb2="00000000" w:usb3="00000000" w:csb0="00000000" w:csb1="00000000"/>
  </w:font>
  <w:font w:name="Courier New">
    <w:panose1 w:val="02070609020205020404"/>
    <w:charset w:val="00"/>
    <w:family w:val="modern"/>
    <w:pitch w:val="default"/>
    <w:sig w:usb0="E0002AFF" w:usb1="C0007843" w:usb2="00000009" w:usb3="00000000" w:csb0="400001FF" w:csb1="FFFF0000"/>
  </w:font>
  <w:font w:name="ˎ̥">
    <w:altName w:val="苹方-简"/>
    <w:panose1 w:val="00000000000000000000"/>
    <w:charset w:val="00"/>
    <w:family w:val="auto"/>
    <w:pitch w:val="default"/>
    <w:sig w:usb0="00000000" w:usb1="00000000" w:usb2="00000000" w:usb3="00000000" w:csb0="00040001" w:csb1="00000000"/>
  </w:font>
  <w:font w:name="Verdana">
    <w:panose1 w:val="020B0604030504040204"/>
    <w:charset w:val="00"/>
    <w:family w:val="swiss"/>
    <w:pitch w:val="default"/>
    <w:sig w:usb0="A1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script"/>
    <w:pitch w:val="default"/>
    <w:sig w:usb0="00000001" w:usb1="08000000" w:usb2="00000000" w:usb3="00000000" w:csb0="00040000" w:csb1="00000000"/>
  </w:font>
  <w:font w:name="方正仿宋简体">
    <w:altName w:val="方正仿宋_GBK"/>
    <w:panose1 w:val="00000000000000000000"/>
    <w:charset w:val="86"/>
    <w:family w:val="auto"/>
    <w:pitch w:val="default"/>
    <w:sig w:usb0="00000000" w:usb1="00000000" w:usb2="00000012" w:usb3="00000000" w:csb0="00040001" w:csb1="00000000"/>
  </w:font>
  <w:font w:name="Arial Unicode MS">
    <w:panose1 w:val="020B0604020202020204"/>
    <w:charset w:val="86"/>
    <w:family w:val="auto"/>
    <w:pitch w:val="default"/>
    <w:sig w:usb0="FFFFFFFF" w:usb1="E9FFFFFF" w:usb2="0000003F" w:usb3="00000000" w:csb0="603F01FF" w:csb1="FFFF0000"/>
  </w:font>
  <w:font w:name="汉仪书宋二KW">
    <w:panose1 w:val="00020600040101010101"/>
    <w:charset w:val="86"/>
    <w:family w:val="auto"/>
    <w:pitch w:val="default"/>
    <w:sig w:usb0="A00002BF" w:usb1="18EF7CFA" w:usb2="00000016" w:usb3="00000000" w:csb0="0004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Helvetica Neue">
    <w:panose1 w:val="02000503000000020004"/>
    <w:charset w:val="00"/>
    <w:family w:val="auto"/>
    <w:pitch w:val="default"/>
    <w:sig w:usb0="E50002FF" w:usb1="500079DB" w:usb2="00000010" w:usb3="00000000" w:csb0="00000000" w:csb1="00000000"/>
  </w:font>
  <w:font w:name="苹方-简">
    <w:altName w:val="Times New Roman"/>
    <w:panose1 w:val="020B0600000000000000"/>
    <w:charset w:val="00"/>
    <w:family w:val="auto"/>
    <w:pitch w:val="default"/>
    <w:sig w:usb0="A00002FF" w:usb1="7ACFFDFB" w:usb2="00000017" w:usb3="00000000" w:csb0="00040001" w:csb1="00000000"/>
  </w:font>
  <w:font w:name="方正仿宋_GBK">
    <w:panose1 w:val="020000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313F4A">
    <w:pPr>
      <w:pStyle w:val="29"/>
      <w:jc w:val="center"/>
      <w:rPr>
        <w:sz w:val="24"/>
        <w:szCs w:val="24"/>
      </w:rPr>
    </w:pPr>
    <w:r>
      <w:rPr>
        <w:rFonts w:hint="eastAsia"/>
        <w:sz w:val="24"/>
        <w:szCs w:val="24"/>
      </w:rPr>
      <w:t>-</w:t>
    </w:r>
    <w:r>
      <w:rPr>
        <w:sz w:val="24"/>
        <w:szCs w:val="24"/>
      </w:rPr>
      <w:fldChar w:fldCharType="begin"/>
    </w:r>
    <w:r>
      <w:rPr>
        <w:sz w:val="24"/>
        <w:szCs w:val="24"/>
      </w:rPr>
      <w:instrText xml:space="preserve"> PAGE   \* MERGEFORMAT </w:instrText>
    </w:r>
    <w:r>
      <w:rPr>
        <w:sz w:val="24"/>
        <w:szCs w:val="24"/>
      </w:rPr>
      <w:fldChar w:fldCharType="separate"/>
    </w:r>
    <w:r>
      <w:rPr>
        <w:sz w:val="24"/>
        <w:szCs w:val="24"/>
        <w:lang w:val="zh-CN"/>
      </w:rPr>
      <w:t>6</w:t>
    </w:r>
    <w:r>
      <w:rPr>
        <w:sz w:val="24"/>
        <w:szCs w:val="24"/>
      </w:rPr>
      <w:fldChar w:fldCharType="end"/>
    </w:r>
    <w:r>
      <w:rPr>
        <w:rFonts w:hint="eastAsia"/>
        <w:sz w:val="24"/>
        <w:szCs w:val="24"/>
      </w:rPr>
      <w:t>-</w:t>
    </w:r>
  </w:p>
  <w:p w14:paraId="33A049B6">
    <w:pPr>
      <w:pStyle w:val="2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F2EC8A">
    <w:pPr>
      <w:pStyle w:val="29"/>
      <w:framePr w:wrap="around" w:vAnchor="text" w:hAnchor="margin" w:xAlign="center" w:y="1"/>
      <w:rPr>
        <w:rStyle w:val="41"/>
      </w:rPr>
    </w:pPr>
    <w:r>
      <w:fldChar w:fldCharType="begin"/>
    </w:r>
    <w:r>
      <w:rPr>
        <w:rStyle w:val="41"/>
      </w:rPr>
      <w:instrText xml:space="preserve">PAGE  </w:instrText>
    </w:r>
    <w:r>
      <w:fldChar w:fldCharType="end"/>
    </w:r>
  </w:p>
  <w:p w14:paraId="7C96AD5F">
    <w:pPr>
      <w:pStyle w:val="79"/>
      <w:ind w:right="360"/>
      <w:rPr>
        <w:rStyle w:val="4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docPartObj>
        <w:docPartGallery w:val="AutoText"/>
      </w:docPartObj>
    </w:sdtPr>
    <w:sdtContent>
      <w:p w14:paraId="0682EDBD">
        <w:pPr>
          <w:pStyle w:val="29"/>
          <w:jc w:val="center"/>
        </w:pPr>
        <w:r>
          <w:fldChar w:fldCharType="begin"/>
        </w:r>
        <w:r>
          <w:instrText xml:space="preserve">PAGE   \* MERGEFORMAT</w:instrText>
        </w:r>
        <w:r>
          <w:fldChar w:fldCharType="separate"/>
        </w:r>
        <w:r>
          <w:rPr>
            <w:lang w:val="zh-CN"/>
          </w:rPr>
          <w:t>1</w:t>
        </w:r>
        <w:r>
          <w:fldChar w:fldCharType="end"/>
        </w:r>
      </w:p>
    </w:sdtContent>
  </w:sdt>
  <w:p w14:paraId="1B369B20">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751B61">
    <w:pPr>
      <w:pStyle w:val="30"/>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40A15CD"/>
    <w:multiLevelType w:val="multilevel"/>
    <w:tmpl w:val="040A15CD"/>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pStyle w:val="66"/>
      <w:suff w:val="nothing"/>
      <w:lvlText w:val="%1%2.%3.%4　"/>
      <w:lvlJc w:val="left"/>
      <w:pPr>
        <w:ind w:left="0" w:firstLine="0"/>
      </w:pPr>
      <w:rPr>
        <w:rFonts w:hint="eastAsia" w:ascii="黑体" w:hAnsi="Times New Roman" w:eastAsia="黑体"/>
        <w:b w:val="0"/>
        <w:i w:val="0"/>
        <w:sz w:val="21"/>
      </w:rPr>
    </w:lvl>
    <w:lvl w:ilvl="4" w:tentative="0">
      <w:start w:val="1"/>
      <w:numFmt w:val="decimal"/>
      <w:pStyle w:val="107"/>
      <w:suff w:val="nothing"/>
      <w:lvlText w:val="%1%2.%3.%4.%5　"/>
      <w:lvlJc w:val="left"/>
      <w:pPr>
        <w:ind w:left="0" w:firstLine="0"/>
      </w:pPr>
      <w:rPr>
        <w:rFonts w:hint="eastAsia" w:ascii="黑体" w:hAnsi="Times New Roman" w:eastAsia="黑体"/>
        <w:b w:val="0"/>
        <w:i w:val="0"/>
        <w:sz w:val="21"/>
      </w:rPr>
    </w:lvl>
    <w:lvl w:ilvl="5" w:tentative="0">
      <w:start w:val="1"/>
      <w:numFmt w:val="decimal"/>
      <w:pStyle w:val="110"/>
      <w:suff w:val="nothing"/>
      <w:lvlText w:val="%1%2.%3.%4.%5.%6　"/>
      <w:lvlJc w:val="left"/>
      <w:pPr>
        <w:ind w:left="0" w:firstLine="0"/>
      </w:pPr>
      <w:rPr>
        <w:rFonts w:hint="eastAsia" w:ascii="黑体" w:hAnsi="Times New Roman" w:eastAsia="黑体"/>
        <w:b w:val="0"/>
        <w:i w:val="0"/>
        <w:sz w:val="21"/>
      </w:rPr>
    </w:lvl>
    <w:lvl w:ilvl="6" w:tentative="0">
      <w:start w:val="1"/>
      <w:numFmt w:val="decimal"/>
      <w:pStyle w:val="116"/>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AE367E9"/>
    <w:multiLevelType w:val="multilevel"/>
    <w:tmpl w:val="0AE367E9"/>
    <w:lvl w:ilvl="0" w:tentative="0">
      <w:start w:val="1"/>
      <w:numFmt w:val="none"/>
      <w:pStyle w:val="65"/>
      <w:lvlText w:val="%1示例"/>
      <w:lvlJc w:val="left"/>
      <w:pPr>
        <w:tabs>
          <w:tab w:val="left" w:pos="1120"/>
        </w:tabs>
        <w:ind w:left="0" w:firstLine="400"/>
      </w:pPr>
      <w:rPr>
        <w:rFonts w:hint="eastAsia" w:ascii="宋体"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407E65F9"/>
    <w:multiLevelType w:val="multilevel"/>
    <w:tmpl w:val="407E65F9"/>
    <w:lvl w:ilvl="0" w:tentative="0">
      <w:start w:val="1"/>
      <w:numFmt w:val="none"/>
      <w:pStyle w:val="104"/>
      <w:lvlText w:val="%1·　"/>
      <w:lvlJc w:val="left"/>
      <w:pPr>
        <w:tabs>
          <w:tab w:val="left" w:pos="1140"/>
        </w:tabs>
        <w:ind w:left="737" w:hanging="317"/>
      </w:pPr>
      <w:rPr>
        <w:rFonts w:hint="eastAsia" w:ascii="宋体" w:hAnsi="Times New Roman" w:eastAsia="宋体"/>
        <w:b w:val="0"/>
        <w:i w:val="0"/>
        <w:sz w:val="21"/>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3">
    <w:nsid w:val="496E4D7B"/>
    <w:multiLevelType w:val="multilevel"/>
    <w:tmpl w:val="496E4D7B"/>
    <w:lvl w:ilvl="0" w:tentative="0">
      <w:start w:val="1"/>
      <w:numFmt w:val="none"/>
      <w:pStyle w:val="121"/>
      <w:lvlText w:val="%1注"/>
      <w:lvlJc w:val="left"/>
      <w:pPr>
        <w:tabs>
          <w:tab w:val="left" w:pos="900"/>
        </w:tabs>
        <w:ind w:left="900" w:hanging="50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557C2AF5"/>
    <w:multiLevelType w:val="multilevel"/>
    <w:tmpl w:val="557C2AF5"/>
    <w:lvl w:ilvl="0" w:tentative="0">
      <w:start w:val="1"/>
      <w:numFmt w:val="decimal"/>
      <w:pStyle w:val="119"/>
      <w:suff w:val="nothing"/>
      <w:lvlText w:val="图%1　"/>
      <w:lvlJc w:val="left"/>
      <w:pPr>
        <w:ind w:left="0" w:firstLine="0"/>
      </w:pPr>
      <w:rPr>
        <w:rFonts w:hint="eastAsia" w:ascii="黑体" w:hAnsi="Times New Roman" w:eastAsia="黑体"/>
        <w:b w:val="0"/>
        <w:i w:val="0"/>
        <w:sz w:val="21"/>
      </w:rPr>
    </w:lvl>
    <w:lvl w:ilvl="1" w:tentative="0">
      <w:start w:val="1"/>
      <w:numFmt w:val="decimal"/>
      <w:suff w:val="nothing"/>
      <w:lvlText w:val="%1%2　"/>
      <w:lvlJc w:val="left"/>
      <w:pPr>
        <w:ind w:left="0" w:firstLine="0"/>
      </w:pPr>
      <w:rPr>
        <w:rFonts w:hint="default" w:ascii="Times New Roman" w:hAnsi="Times New Roman" w:eastAsia="黑体"/>
        <w:b w:val="0"/>
        <w:i w:val="0"/>
        <w:sz w:val="21"/>
      </w:rPr>
    </w:lvl>
    <w:lvl w:ilvl="2" w:tentative="0">
      <w:start w:val="1"/>
      <w:numFmt w:val="decimal"/>
      <w:suff w:val="nothing"/>
      <w:lvlText w:val="%1%2.%3　"/>
      <w:lvlJc w:val="left"/>
      <w:pPr>
        <w:ind w:left="0" w:firstLine="0"/>
      </w:pPr>
      <w:rPr>
        <w:rFonts w:hint="default" w:ascii="Times New Roman" w:hAnsi="Times New Roman" w:eastAsia="黑体"/>
        <w:b w:val="0"/>
        <w:i w:val="0"/>
        <w:sz w:val="21"/>
      </w:rPr>
    </w:lvl>
    <w:lvl w:ilvl="3" w:tentative="0">
      <w:start w:val="1"/>
      <w:numFmt w:val="decimal"/>
      <w:suff w:val="nothing"/>
      <w:lvlText w:val="%1%2.%3.%4　"/>
      <w:lvlJc w:val="left"/>
      <w:pPr>
        <w:ind w:left="0" w:firstLine="0"/>
      </w:pPr>
      <w:rPr>
        <w:rFonts w:hint="default" w:ascii="Times New Roman" w:hAnsi="Times New Roman" w:eastAsia="黑体"/>
        <w:b w:val="0"/>
        <w:i w:val="0"/>
        <w:sz w:val="21"/>
      </w:rPr>
    </w:lvl>
    <w:lvl w:ilvl="4" w:tentative="0">
      <w:start w:val="1"/>
      <w:numFmt w:val="decimal"/>
      <w:suff w:val="nothing"/>
      <w:lvlText w:val="%1%2.%3.%4.%5　"/>
      <w:lvlJc w:val="left"/>
      <w:pPr>
        <w:ind w:left="0" w:firstLine="0"/>
      </w:pPr>
      <w:rPr>
        <w:rFonts w:hint="default" w:ascii="Times New Roman" w:hAnsi="Times New Roman" w:eastAsia="黑体"/>
        <w:b w:val="0"/>
        <w:i w:val="0"/>
        <w:sz w:val="21"/>
      </w:rPr>
    </w:lvl>
    <w:lvl w:ilvl="5" w:tentative="0">
      <w:start w:val="1"/>
      <w:numFmt w:val="decimal"/>
      <w:suff w:val="nothing"/>
      <w:lvlText w:val="%1%2.%3.%4.%5.%6　"/>
      <w:lvlJc w:val="left"/>
      <w:pPr>
        <w:ind w:left="0" w:firstLine="0"/>
      </w:pPr>
      <w:rPr>
        <w:rFonts w:hint="default" w:ascii="Times New Roman" w:hAnsi="Times New Roman" w:eastAsia="黑体"/>
        <w:b w:val="0"/>
        <w:i w:val="0"/>
        <w:sz w:val="21"/>
      </w:rPr>
    </w:lvl>
    <w:lvl w:ilvl="6" w:tentative="0">
      <w:start w:val="1"/>
      <w:numFmt w:val="decimal"/>
      <w:suff w:val="nothing"/>
      <w:lvlText w:val="%1%2.%3.%4.%5.%6.%7　"/>
      <w:lvlJc w:val="left"/>
      <w:pPr>
        <w:ind w:left="0" w:firstLine="0"/>
      </w:pPr>
      <w:rPr>
        <w:rFonts w:hint="default" w:ascii="Times New Roman"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5">
    <w:nsid w:val="646260FA"/>
    <w:multiLevelType w:val="multilevel"/>
    <w:tmpl w:val="646260FA"/>
    <w:lvl w:ilvl="0" w:tentative="0">
      <w:start w:val="1"/>
      <w:numFmt w:val="decimal"/>
      <w:pStyle w:val="118"/>
      <w:suff w:val="nothing"/>
      <w:lvlText w:val="表%1　"/>
      <w:lvlJc w:val="left"/>
      <w:pPr>
        <w:ind w:left="0" w:firstLine="0"/>
      </w:pPr>
      <w:rPr>
        <w:rFonts w:hint="eastAsia" w:ascii="黑体" w:hAnsi="Times New Roman" w:eastAsia="黑体"/>
        <w:b w:val="0"/>
        <w:i w:val="0"/>
        <w:sz w:val="21"/>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6">
    <w:nsid w:val="657D3FBC"/>
    <w:multiLevelType w:val="multilevel"/>
    <w:tmpl w:val="657D3FBC"/>
    <w:lvl w:ilvl="0" w:tentative="0">
      <w:start w:val="1"/>
      <w:numFmt w:val="upperLetter"/>
      <w:pStyle w:val="100"/>
      <w:suff w:val="nothing"/>
      <w:lvlText w:val="附　录　%1"/>
      <w:lvlJc w:val="left"/>
      <w:pPr>
        <w:ind w:left="0" w:firstLine="0"/>
      </w:pPr>
      <w:rPr>
        <w:rFonts w:hint="eastAsia" w:ascii="黑体" w:hAnsi="Times New Roman" w:eastAsia="黑体"/>
        <w:b w:val="0"/>
        <w:i w:val="0"/>
        <w:sz w:val="21"/>
      </w:rPr>
    </w:lvl>
    <w:lvl w:ilvl="1" w:tentative="0">
      <w:start w:val="1"/>
      <w:numFmt w:val="decimal"/>
      <w:pStyle w:val="75"/>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74"/>
      <w:suff w:val="nothing"/>
      <w:lvlText w:val="%1.%2.%3　"/>
      <w:lvlJc w:val="left"/>
      <w:pPr>
        <w:ind w:left="0" w:firstLine="0"/>
      </w:pPr>
      <w:rPr>
        <w:rFonts w:hint="eastAsia" w:ascii="黑体" w:hAnsi="Times New Roman" w:eastAsia="黑体"/>
        <w:b w:val="0"/>
        <w:i w:val="0"/>
        <w:sz w:val="21"/>
      </w:rPr>
    </w:lvl>
    <w:lvl w:ilvl="3" w:tentative="0">
      <w:start w:val="1"/>
      <w:numFmt w:val="decimal"/>
      <w:pStyle w:val="73"/>
      <w:suff w:val="nothing"/>
      <w:lvlText w:val="%1.%2.%3.%4　"/>
      <w:lvlJc w:val="left"/>
      <w:pPr>
        <w:ind w:left="0" w:firstLine="0"/>
      </w:pPr>
      <w:rPr>
        <w:rFonts w:hint="eastAsia" w:ascii="黑体" w:hAnsi="Times New Roman" w:eastAsia="黑体"/>
        <w:b w:val="0"/>
        <w:i w:val="0"/>
        <w:sz w:val="21"/>
      </w:rPr>
    </w:lvl>
    <w:lvl w:ilvl="4" w:tentative="0">
      <w:start w:val="1"/>
      <w:numFmt w:val="decimal"/>
      <w:pStyle w:val="72"/>
      <w:suff w:val="nothing"/>
      <w:lvlText w:val="%1.%2.%3.%4.%5　"/>
      <w:lvlJc w:val="left"/>
      <w:pPr>
        <w:ind w:left="0" w:firstLine="0"/>
      </w:pPr>
      <w:rPr>
        <w:rFonts w:hint="eastAsia" w:ascii="黑体" w:hAnsi="Times New Roman" w:eastAsia="黑体"/>
        <w:b w:val="0"/>
        <w:i w:val="0"/>
        <w:sz w:val="21"/>
      </w:rPr>
    </w:lvl>
    <w:lvl w:ilvl="5" w:tentative="0">
      <w:start w:val="1"/>
      <w:numFmt w:val="decimal"/>
      <w:pStyle w:val="71"/>
      <w:suff w:val="nothing"/>
      <w:lvlText w:val="%1.%2.%3.%4.%5.%6　"/>
      <w:lvlJc w:val="left"/>
      <w:pPr>
        <w:ind w:left="0" w:firstLine="0"/>
      </w:pPr>
      <w:rPr>
        <w:rFonts w:hint="eastAsia" w:ascii="黑体" w:hAnsi="Times New Roman" w:eastAsia="黑体"/>
        <w:b w:val="0"/>
        <w:i w:val="0"/>
        <w:sz w:val="21"/>
      </w:rPr>
    </w:lvl>
    <w:lvl w:ilvl="6" w:tentative="0">
      <w:start w:val="1"/>
      <w:numFmt w:val="decimal"/>
      <w:pStyle w:val="83"/>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7">
    <w:nsid w:val="6CEA2025"/>
    <w:multiLevelType w:val="multilevel"/>
    <w:tmpl w:val="6CEA2025"/>
    <w:lvl w:ilvl="0" w:tentative="0">
      <w:start w:val="1"/>
      <w:numFmt w:val="none"/>
      <w:pStyle w:val="78"/>
      <w:suff w:val="nothing"/>
      <w:lvlText w:val="%1"/>
      <w:lvlJc w:val="left"/>
      <w:pPr>
        <w:ind w:left="0" w:firstLine="0"/>
      </w:pPr>
      <w:rPr>
        <w:rFonts w:hint="default" w:ascii="Times New Roman" w:hAnsi="Times New Roman"/>
        <w:b/>
        <w:i w:val="0"/>
        <w:sz w:val="21"/>
      </w:rPr>
    </w:lvl>
    <w:lvl w:ilvl="1" w:tentative="0">
      <w:start w:val="1"/>
      <w:numFmt w:val="decimal"/>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pStyle w:val="80"/>
      <w:suff w:val="nothing"/>
      <w:lvlText w:val="%1%2.%3.%4.%5　"/>
      <w:lvlJc w:val="left"/>
      <w:pPr>
        <w:ind w:left="0" w:firstLine="0"/>
      </w:pPr>
      <w:rPr>
        <w:rFonts w:hint="eastAsia" w:ascii="黑体" w:hAnsi="Times New Roman" w:eastAsia="黑体"/>
        <w:b w:val="0"/>
        <w:i w:val="0"/>
        <w:sz w:val="21"/>
      </w:rPr>
    </w:lvl>
    <w:lvl w:ilvl="5" w:tentative="0">
      <w:start w:val="1"/>
      <w:numFmt w:val="decimal"/>
      <w:pStyle w:val="109"/>
      <w:suff w:val="nothing"/>
      <w:lvlText w:val="%1%2.%3.%4.%5.%6　"/>
      <w:lvlJc w:val="left"/>
      <w:pPr>
        <w:ind w:left="0" w:firstLine="0"/>
      </w:pPr>
      <w:rPr>
        <w:rFonts w:hint="eastAsia" w:ascii="黑体" w:hAnsi="Times New Roman" w:eastAsia="黑体"/>
        <w:b w:val="0"/>
        <w:i w:val="0"/>
        <w:sz w:val="21"/>
      </w:rPr>
    </w:lvl>
    <w:lvl w:ilvl="6" w:tentative="0">
      <w:start w:val="1"/>
      <w:numFmt w:val="decimal"/>
      <w:pStyle w:val="115"/>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8">
    <w:nsid w:val="6DBF04F4"/>
    <w:multiLevelType w:val="multilevel"/>
    <w:tmpl w:val="6DBF04F4"/>
    <w:lvl w:ilvl="0" w:tentative="0">
      <w:start w:val="1"/>
      <w:numFmt w:val="none"/>
      <w:pStyle w:val="120"/>
      <w:lvlText w:val="%1注："/>
      <w:lvlJc w:val="left"/>
      <w:pPr>
        <w:tabs>
          <w:tab w:val="left" w:pos="1140"/>
        </w:tabs>
        <w:ind w:left="840" w:hanging="42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76933334"/>
    <w:multiLevelType w:val="multilevel"/>
    <w:tmpl w:val="76933334"/>
    <w:lvl w:ilvl="0" w:tentative="0">
      <w:start w:val="1"/>
      <w:numFmt w:val="none"/>
      <w:pStyle w:val="103"/>
      <w:lvlText w:val="%1——"/>
      <w:lvlJc w:val="left"/>
      <w:pPr>
        <w:tabs>
          <w:tab w:val="left" w:pos="11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0"/>
  </w:num>
  <w:num w:numId="3">
    <w:abstractNumId w:val="6"/>
  </w:num>
  <w:num w:numId="4">
    <w:abstractNumId w:val="7"/>
  </w:num>
  <w:num w:numId="5">
    <w:abstractNumId w:val="9"/>
  </w:num>
  <w:num w:numId="6">
    <w:abstractNumId w:val="2"/>
  </w:num>
  <w:num w:numId="7">
    <w:abstractNumId w:val="5"/>
  </w:num>
  <w:num w:numId="8">
    <w:abstractNumId w:val="4"/>
  </w:num>
  <w:num w:numId="9">
    <w:abstractNumId w:val="8"/>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5"/>
  <w:bordersDoNotSurroundHeader w:val="1"/>
  <w:bordersDoNotSurroundFooter w:val="1"/>
  <w:documentProtection w:enforcement="0"/>
  <w:defaultTabStop w:val="420"/>
  <w:drawingGridHorizontalSpacing w:val="96"/>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2"/>
  </w:compat>
  <w:rsids>
    <w:rsidRoot w:val="00172A27"/>
    <w:rsid w:val="00000600"/>
    <w:rsid w:val="00001AD5"/>
    <w:rsid w:val="00003491"/>
    <w:rsid w:val="000037D2"/>
    <w:rsid w:val="000065A1"/>
    <w:rsid w:val="00012C67"/>
    <w:rsid w:val="00014276"/>
    <w:rsid w:val="00015100"/>
    <w:rsid w:val="00020D33"/>
    <w:rsid w:val="00021C6E"/>
    <w:rsid w:val="00022D05"/>
    <w:rsid w:val="00023A0F"/>
    <w:rsid w:val="0002669E"/>
    <w:rsid w:val="00027415"/>
    <w:rsid w:val="000449B0"/>
    <w:rsid w:val="00047546"/>
    <w:rsid w:val="000501FC"/>
    <w:rsid w:val="000555F5"/>
    <w:rsid w:val="00056034"/>
    <w:rsid w:val="00060C30"/>
    <w:rsid w:val="0006511B"/>
    <w:rsid w:val="00066DF5"/>
    <w:rsid w:val="00067912"/>
    <w:rsid w:val="00071584"/>
    <w:rsid w:val="00072C62"/>
    <w:rsid w:val="00076838"/>
    <w:rsid w:val="00076FE5"/>
    <w:rsid w:val="000913AA"/>
    <w:rsid w:val="00091710"/>
    <w:rsid w:val="00091BBF"/>
    <w:rsid w:val="00095480"/>
    <w:rsid w:val="000A1245"/>
    <w:rsid w:val="000A1780"/>
    <w:rsid w:val="000A408A"/>
    <w:rsid w:val="000A5135"/>
    <w:rsid w:val="000A6CE1"/>
    <w:rsid w:val="000A702B"/>
    <w:rsid w:val="000B15F1"/>
    <w:rsid w:val="000B3B53"/>
    <w:rsid w:val="000C795D"/>
    <w:rsid w:val="000C7D1E"/>
    <w:rsid w:val="000D0D61"/>
    <w:rsid w:val="000D11AC"/>
    <w:rsid w:val="000D14F2"/>
    <w:rsid w:val="000D5EB5"/>
    <w:rsid w:val="000D6845"/>
    <w:rsid w:val="000E0F71"/>
    <w:rsid w:val="000E1472"/>
    <w:rsid w:val="000E5568"/>
    <w:rsid w:val="000F0490"/>
    <w:rsid w:val="000F1C53"/>
    <w:rsid w:val="000F234E"/>
    <w:rsid w:val="000F3D81"/>
    <w:rsid w:val="000F788D"/>
    <w:rsid w:val="00100BB8"/>
    <w:rsid w:val="00101C16"/>
    <w:rsid w:val="00104AC8"/>
    <w:rsid w:val="00105177"/>
    <w:rsid w:val="00105B9F"/>
    <w:rsid w:val="00107566"/>
    <w:rsid w:val="0011003E"/>
    <w:rsid w:val="00111A00"/>
    <w:rsid w:val="00114105"/>
    <w:rsid w:val="00115CB3"/>
    <w:rsid w:val="001206FE"/>
    <w:rsid w:val="00121083"/>
    <w:rsid w:val="00122F0F"/>
    <w:rsid w:val="00124501"/>
    <w:rsid w:val="00126B2A"/>
    <w:rsid w:val="0012777A"/>
    <w:rsid w:val="00132A68"/>
    <w:rsid w:val="001331D7"/>
    <w:rsid w:val="00135A95"/>
    <w:rsid w:val="00143336"/>
    <w:rsid w:val="00143401"/>
    <w:rsid w:val="00143C40"/>
    <w:rsid w:val="00145CC3"/>
    <w:rsid w:val="0015079E"/>
    <w:rsid w:val="00152D7E"/>
    <w:rsid w:val="00154115"/>
    <w:rsid w:val="00156A94"/>
    <w:rsid w:val="00162151"/>
    <w:rsid w:val="001621BF"/>
    <w:rsid w:val="00162298"/>
    <w:rsid w:val="00163D2E"/>
    <w:rsid w:val="00172A27"/>
    <w:rsid w:val="00173798"/>
    <w:rsid w:val="00173E8B"/>
    <w:rsid w:val="00174E25"/>
    <w:rsid w:val="00176EB9"/>
    <w:rsid w:val="001828C2"/>
    <w:rsid w:val="00183E93"/>
    <w:rsid w:val="001903A2"/>
    <w:rsid w:val="00194A6B"/>
    <w:rsid w:val="00195AED"/>
    <w:rsid w:val="001970C8"/>
    <w:rsid w:val="00197999"/>
    <w:rsid w:val="001A0134"/>
    <w:rsid w:val="001A168A"/>
    <w:rsid w:val="001B17CC"/>
    <w:rsid w:val="001B3EB1"/>
    <w:rsid w:val="001B7439"/>
    <w:rsid w:val="001C0680"/>
    <w:rsid w:val="001C0B8E"/>
    <w:rsid w:val="001C384F"/>
    <w:rsid w:val="001C7ACD"/>
    <w:rsid w:val="001D2338"/>
    <w:rsid w:val="001D717A"/>
    <w:rsid w:val="001E37A6"/>
    <w:rsid w:val="001E6600"/>
    <w:rsid w:val="001F162E"/>
    <w:rsid w:val="001F46BE"/>
    <w:rsid w:val="001F6DDE"/>
    <w:rsid w:val="001F7A0C"/>
    <w:rsid w:val="002045D5"/>
    <w:rsid w:val="0020499A"/>
    <w:rsid w:val="0020534B"/>
    <w:rsid w:val="00213480"/>
    <w:rsid w:val="002139D7"/>
    <w:rsid w:val="002146D1"/>
    <w:rsid w:val="00214AD8"/>
    <w:rsid w:val="00215982"/>
    <w:rsid w:val="00216A3B"/>
    <w:rsid w:val="00221686"/>
    <w:rsid w:val="00222AC5"/>
    <w:rsid w:val="00225EC8"/>
    <w:rsid w:val="0022687E"/>
    <w:rsid w:val="00232FD3"/>
    <w:rsid w:val="00233816"/>
    <w:rsid w:val="00234591"/>
    <w:rsid w:val="00234D6C"/>
    <w:rsid w:val="00243D10"/>
    <w:rsid w:val="00245229"/>
    <w:rsid w:val="00245893"/>
    <w:rsid w:val="00246E3B"/>
    <w:rsid w:val="00247988"/>
    <w:rsid w:val="00250799"/>
    <w:rsid w:val="00251D4A"/>
    <w:rsid w:val="002526E1"/>
    <w:rsid w:val="00257071"/>
    <w:rsid w:val="00270414"/>
    <w:rsid w:val="00271B36"/>
    <w:rsid w:val="00273C64"/>
    <w:rsid w:val="002763D0"/>
    <w:rsid w:val="002826DE"/>
    <w:rsid w:val="002831FC"/>
    <w:rsid w:val="00287E6F"/>
    <w:rsid w:val="00291E81"/>
    <w:rsid w:val="00292F15"/>
    <w:rsid w:val="00292F8E"/>
    <w:rsid w:val="00294EC4"/>
    <w:rsid w:val="002A140C"/>
    <w:rsid w:val="002A1BF1"/>
    <w:rsid w:val="002A43A2"/>
    <w:rsid w:val="002A67B6"/>
    <w:rsid w:val="002B1A70"/>
    <w:rsid w:val="002B3036"/>
    <w:rsid w:val="002B4AF7"/>
    <w:rsid w:val="002C1971"/>
    <w:rsid w:val="002C2941"/>
    <w:rsid w:val="002C5CE4"/>
    <w:rsid w:val="002D02E7"/>
    <w:rsid w:val="002D20F2"/>
    <w:rsid w:val="002D5E7E"/>
    <w:rsid w:val="002D67E2"/>
    <w:rsid w:val="002D6ED0"/>
    <w:rsid w:val="002E1947"/>
    <w:rsid w:val="002E28C5"/>
    <w:rsid w:val="002E35BF"/>
    <w:rsid w:val="002F0DE6"/>
    <w:rsid w:val="002F45EE"/>
    <w:rsid w:val="002F4B74"/>
    <w:rsid w:val="0030073B"/>
    <w:rsid w:val="00305AC4"/>
    <w:rsid w:val="00306CBC"/>
    <w:rsid w:val="003073C7"/>
    <w:rsid w:val="00312A0F"/>
    <w:rsid w:val="00312A4B"/>
    <w:rsid w:val="003131D2"/>
    <w:rsid w:val="00313385"/>
    <w:rsid w:val="00314FAB"/>
    <w:rsid w:val="00321005"/>
    <w:rsid w:val="003227D7"/>
    <w:rsid w:val="0032534D"/>
    <w:rsid w:val="00326368"/>
    <w:rsid w:val="003279F1"/>
    <w:rsid w:val="003346EE"/>
    <w:rsid w:val="0033484C"/>
    <w:rsid w:val="00341376"/>
    <w:rsid w:val="00344552"/>
    <w:rsid w:val="00347C8B"/>
    <w:rsid w:val="00351452"/>
    <w:rsid w:val="00353543"/>
    <w:rsid w:val="003536C8"/>
    <w:rsid w:val="003546C0"/>
    <w:rsid w:val="00354A7F"/>
    <w:rsid w:val="003559F6"/>
    <w:rsid w:val="0036009E"/>
    <w:rsid w:val="0036599B"/>
    <w:rsid w:val="00371C18"/>
    <w:rsid w:val="00371E4A"/>
    <w:rsid w:val="00371EBB"/>
    <w:rsid w:val="003751BA"/>
    <w:rsid w:val="00377740"/>
    <w:rsid w:val="003827ED"/>
    <w:rsid w:val="00384733"/>
    <w:rsid w:val="00385748"/>
    <w:rsid w:val="00386047"/>
    <w:rsid w:val="003863F3"/>
    <w:rsid w:val="0039611D"/>
    <w:rsid w:val="00397098"/>
    <w:rsid w:val="00397D76"/>
    <w:rsid w:val="003A39B9"/>
    <w:rsid w:val="003A5BC3"/>
    <w:rsid w:val="003A6A58"/>
    <w:rsid w:val="003B2404"/>
    <w:rsid w:val="003B3287"/>
    <w:rsid w:val="003B39C8"/>
    <w:rsid w:val="003B42E9"/>
    <w:rsid w:val="003B4BA1"/>
    <w:rsid w:val="003C19CA"/>
    <w:rsid w:val="003C31BD"/>
    <w:rsid w:val="003C49BC"/>
    <w:rsid w:val="003C5970"/>
    <w:rsid w:val="003C5AC1"/>
    <w:rsid w:val="003D1718"/>
    <w:rsid w:val="003D4B7D"/>
    <w:rsid w:val="003D4CCE"/>
    <w:rsid w:val="003D599A"/>
    <w:rsid w:val="003D5A36"/>
    <w:rsid w:val="003E5D78"/>
    <w:rsid w:val="003E6942"/>
    <w:rsid w:val="003E7769"/>
    <w:rsid w:val="003E7BC0"/>
    <w:rsid w:val="003F3ACC"/>
    <w:rsid w:val="003F3CC1"/>
    <w:rsid w:val="00401712"/>
    <w:rsid w:val="00403580"/>
    <w:rsid w:val="004056C2"/>
    <w:rsid w:val="00406723"/>
    <w:rsid w:val="004079C8"/>
    <w:rsid w:val="004135E4"/>
    <w:rsid w:val="0042117C"/>
    <w:rsid w:val="00422553"/>
    <w:rsid w:val="0042404B"/>
    <w:rsid w:val="0043582D"/>
    <w:rsid w:val="00436CEC"/>
    <w:rsid w:val="00437DF0"/>
    <w:rsid w:val="004422EA"/>
    <w:rsid w:val="00443250"/>
    <w:rsid w:val="004506A0"/>
    <w:rsid w:val="00456308"/>
    <w:rsid w:val="00456AB0"/>
    <w:rsid w:val="00463DF6"/>
    <w:rsid w:val="0046464F"/>
    <w:rsid w:val="00465C6C"/>
    <w:rsid w:val="00467A0C"/>
    <w:rsid w:val="0047255A"/>
    <w:rsid w:val="0047426C"/>
    <w:rsid w:val="0047467F"/>
    <w:rsid w:val="00476640"/>
    <w:rsid w:val="004821FE"/>
    <w:rsid w:val="0048765D"/>
    <w:rsid w:val="00487F12"/>
    <w:rsid w:val="00491B3A"/>
    <w:rsid w:val="00491FFA"/>
    <w:rsid w:val="004934E6"/>
    <w:rsid w:val="00493893"/>
    <w:rsid w:val="004938A1"/>
    <w:rsid w:val="0049599B"/>
    <w:rsid w:val="004A0D8A"/>
    <w:rsid w:val="004A4FDC"/>
    <w:rsid w:val="004B4B4C"/>
    <w:rsid w:val="004B5246"/>
    <w:rsid w:val="004C215F"/>
    <w:rsid w:val="004C2557"/>
    <w:rsid w:val="004C2B4D"/>
    <w:rsid w:val="004C70B5"/>
    <w:rsid w:val="004D5E39"/>
    <w:rsid w:val="004D6095"/>
    <w:rsid w:val="004D6444"/>
    <w:rsid w:val="004D7338"/>
    <w:rsid w:val="004E40CE"/>
    <w:rsid w:val="004F05BF"/>
    <w:rsid w:val="004F5D98"/>
    <w:rsid w:val="004F642A"/>
    <w:rsid w:val="005047D4"/>
    <w:rsid w:val="00505DB1"/>
    <w:rsid w:val="00506F87"/>
    <w:rsid w:val="00507B92"/>
    <w:rsid w:val="00510BC3"/>
    <w:rsid w:val="00512A9D"/>
    <w:rsid w:val="005135AC"/>
    <w:rsid w:val="005176CC"/>
    <w:rsid w:val="00527A1D"/>
    <w:rsid w:val="00544603"/>
    <w:rsid w:val="005454CE"/>
    <w:rsid w:val="0055147E"/>
    <w:rsid w:val="005548F8"/>
    <w:rsid w:val="00555303"/>
    <w:rsid w:val="00557671"/>
    <w:rsid w:val="005647BF"/>
    <w:rsid w:val="00574AE5"/>
    <w:rsid w:val="00576510"/>
    <w:rsid w:val="0057659A"/>
    <w:rsid w:val="00583CCC"/>
    <w:rsid w:val="00585419"/>
    <w:rsid w:val="005867C4"/>
    <w:rsid w:val="00590B1C"/>
    <w:rsid w:val="005925DF"/>
    <w:rsid w:val="00593BEA"/>
    <w:rsid w:val="005945B8"/>
    <w:rsid w:val="005A0E0F"/>
    <w:rsid w:val="005A24E0"/>
    <w:rsid w:val="005A63BF"/>
    <w:rsid w:val="005A66CB"/>
    <w:rsid w:val="005A785A"/>
    <w:rsid w:val="005B0C1C"/>
    <w:rsid w:val="005B2144"/>
    <w:rsid w:val="005B2F38"/>
    <w:rsid w:val="005B2FD0"/>
    <w:rsid w:val="005B4EFD"/>
    <w:rsid w:val="005B7535"/>
    <w:rsid w:val="005C0DE9"/>
    <w:rsid w:val="005C53B1"/>
    <w:rsid w:val="005C5985"/>
    <w:rsid w:val="005C5B5A"/>
    <w:rsid w:val="005C67C9"/>
    <w:rsid w:val="005C7441"/>
    <w:rsid w:val="005D1744"/>
    <w:rsid w:val="005D32C5"/>
    <w:rsid w:val="005E0C0B"/>
    <w:rsid w:val="005E128E"/>
    <w:rsid w:val="005E2069"/>
    <w:rsid w:val="005E51A3"/>
    <w:rsid w:val="005E65B3"/>
    <w:rsid w:val="005E6A1C"/>
    <w:rsid w:val="005E750F"/>
    <w:rsid w:val="005E77FA"/>
    <w:rsid w:val="005F05C9"/>
    <w:rsid w:val="005F3142"/>
    <w:rsid w:val="005F3175"/>
    <w:rsid w:val="005F4E57"/>
    <w:rsid w:val="005F5C81"/>
    <w:rsid w:val="005F68C4"/>
    <w:rsid w:val="005F6AE2"/>
    <w:rsid w:val="005F7888"/>
    <w:rsid w:val="0060176C"/>
    <w:rsid w:val="00603C7D"/>
    <w:rsid w:val="00607E57"/>
    <w:rsid w:val="00613BB2"/>
    <w:rsid w:val="0061433E"/>
    <w:rsid w:val="00620635"/>
    <w:rsid w:val="00623DF3"/>
    <w:rsid w:val="00630A22"/>
    <w:rsid w:val="006313C2"/>
    <w:rsid w:val="0063419D"/>
    <w:rsid w:val="006350A9"/>
    <w:rsid w:val="00635D61"/>
    <w:rsid w:val="00641B49"/>
    <w:rsid w:val="00642188"/>
    <w:rsid w:val="006429BD"/>
    <w:rsid w:val="00644DB7"/>
    <w:rsid w:val="00647235"/>
    <w:rsid w:val="00650490"/>
    <w:rsid w:val="00652828"/>
    <w:rsid w:val="0065388D"/>
    <w:rsid w:val="00653ED1"/>
    <w:rsid w:val="00655105"/>
    <w:rsid w:val="00656FC3"/>
    <w:rsid w:val="0066079F"/>
    <w:rsid w:val="00661134"/>
    <w:rsid w:val="00662B24"/>
    <w:rsid w:val="00663563"/>
    <w:rsid w:val="0066430B"/>
    <w:rsid w:val="00664FC1"/>
    <w:rsid w:val="006661EF"/>
    <w:rsid w:val="006676B9"/>
    <w:rsid w:val="0067052E"/>
    <w:rsid w:val="0067328A"/>
    <w:rsid w:val="006759B1"/>
    <w:rsid w:val="0067614A"/>
    <w:rsid w:val="0067788D"/>
    <w:rsid w:val="00681855"/>
    <w:rsid w:val="006860D7"/>
    <w:rsid w:val="00686B9D"/>
    <w:rsid w:val="006903B2"/>
    <w:rsid w:val="00691C85"/>
    <w:rsid w:val="00692E9D"/>
    <w:rsid w:val="00693010"/>
    <w:rsid w:val="0069459D"/>
    <w:rsid w:val="00694984"/>
    <w:rsid w:val="006A03B7"/>
    <w:rsid w:val="006A667F"/>
    <w:rsid w:val="006B1DD6"/>
    <w:rsid w:val="006B35CD"/>
    <w:rsid w:val="006B44C8"/>
    <w:rsid w:val="006C2FDA"/>
    <w:rsid w:val="006C3803"/>
    <w:rsid w:val="006C7A34"/>
    <w:rsid w:val="006D0147"/>
    <w:rsid w:val="006D2EC0"/>
    <w:rsid w:val="006D45A2"/>
    <w:rsid w:val="006E0F60"/>
    <w:rsid w:val="006E2E08"/>
    <w:rsid w:val="006E5264"/>
    <w:rsid w:val="006E7099"/>
    <w:rsid w:val="006F1EFE"/>
    <w:rsid w:val="006F2C6B"/>
    <w:rsid w:val="006F3306"/>
    <w:rsid w:val="007008F7"/>
    <w:rsid w:val="00702FA1"/>
    <w:rsid w:val="00703861"/>
    <w:rsid w:val="00704585"/>
    <w:rsid w:val="00706E5C"/>
    <w:rsid w:val="0070711B"/>
    <w:rsid w:val="007074BB"/>
    <w:rsid w:val="00707920"/>
    <w:rsid w:val="00712D66"/>
    <w:rsid w:val="00713ADE"/>
    <w:rsid w:val="00713F19"/>
    <w:rsid w:val="007158CA"/>
    <w:rsid w:val="00715923"/>
    <w:rsid w:val="00720BC2"/>
    <w:rsid w:val="00721258"/>
    <w:rsid w:val="00721780"/>
    <w:rsid w:val="00721EC6"/>
    <w:rsid w:val="007233AC"/>
    <w:rsid w:val="00723488"/>
    <w:rsid w:val="007239E8"/>
    <w:rsid w:val="00725B7B"/>
    <w:rsid w:val="007323E9"/>
    <w:rsid w:val="00733651"/>
    <w:rsid w:val="00734716"/>
    <w:rsid w:val="00735BCB"/>
    <w:rsid w:val="0073613C"/>
    <w:rsid w:val="007377DC"/>
    <w:rsid w:val="00744594"/>
    <w:rsid w:val="007532A3"/>
    <w:rsid w:val="0075336B"/>
    <w:rsid w:val="00753E95"/>
    <w:rsid w:val="00757041"/>
    <w:rsid w:val="00757990"/>
    <w:rsid w:val="00760D8C"/>
    <w:rsid w:val="007701D5"/>
    <w:rsid w:val="00770A66"/>
    <w:rsid w:val="00772F48"/>
    <w:rsid w:val="00775B4F"/>
    <w:rsid w:val="007852EA"/>
    <w:rsid w:val="007853F1"/>
    <w:rsid w:val="007925DD"/>
    <w:rsid w:val="00794C03"/>
    <w:rsid w:val="00796417"/>
    <w:rsid w:val="007A381A"/>
    <w:rsid w:val="007A4AA1"/>
    <w:rsid w:val="007A5A57"/>
    <w:rsid w:val="007A659B"/>
    <w:rsid w:val="007A679E"/>
    <w:rsid w:val="007B0B2B"/>
    <w:rsid w:val="007B271C"/>
    <w:rsid w:val="007B75E7"/>
    <w:rsid w:val="007C02F8"/>
    <w:rsid w:val="007C09FA"/>
    <w:rsid w:val="007C0E4F"/>
    <w:rsid w:val="007C2AE5"/>
    <w:rsid w:val="007C53D2"/>
    <w:rsid w:val="007C7D05"/>
    <w:rsid w:val="007D0B7A"/>
    <w:rsid w:val="007E141A"/>
    <w:rsid w:val="007E1CF3"/>
    <w:rsid w:val="007E2E60"/>
    <w:rsid w:val="007E388B"/>
    <w:rsid w:val="007E3BE5"/>
    <w:rsid w:val="007E43CC"/>
    <w:rsid w:val="007E4B7B"/>
    <w:rsid w:val="007E578F"/>
    <w:rsid w:val="007E6A76"/>
    <w:rsid w:val="007F067F"/>
    <w:rsid w:val="007F09A2"/>
    <w:rsid w:val="007F0CD7"/>
    <w:rsid w:val="007F2172"/>
    <w:rsid w:val="007F2657"/>
    <w:rsid w:val="007F3D5D"/>
    <w:rsid w:val="007F4686"/>
    <w:rsid w:val="007F5135"/>
    <w:rsid w:val="007F61EF"/>
    <w:rsid w:val="007F71CE"/>
    <w:rsid w:val="00806C4E"/>
    <w:rsid w:val="008112B3"/>
    <w:rsid w:val="0081331C"/>
    <w:rsid w:val="00814A2C"/>
    <w:rsid w:val="00816166"/>
    <w:rsid w:val="00821333"/>
    <w:rsid w:val="008213C1"/>
    <w:rsid w:val="00823F72"/>
    <w:rsid w:val="00830115"/>
    <w:rsid w:val="008312E3"/>
    <w:rsid w:val="008349DA"/>
    <w:rsid w:val="00835130"/>
    <w:rsid w:val="00835E18"/>
    <w:rsid w:val="00836606"/>
    <w:rsid w:val="008368D7"/>
    <w:rsid w:val="008576BB"/>
    <w:rsid w:val="00860484"/>
    <w:rsid w:val="008606CA"/>
    <w:rsid w:val="0086131B"/>
    <w:rsid w:val="00862C03"/>
    <w:rsid w:val="00864671"/>
    <w:rsid w:val="00870079"/>
    <w:rsid w:val="008829BA"/>
    <w:rsid w:val="00890A40"/>
    <w:rsid w:val="0089568E"/>
    <w:rsid w:val="008A05A5"/>
    <w:rsid w:val="008A2AC2"/>
    <w:rsid w:val="008A42B0"/>
    <w:rsid w:val="008A4BA9"/>
    <w:rsid w:val="008A7D25"/>
    <w:rsid w:val="008B08E1"/>
    <w:rsid w:val="008B1729"/>
    <w:rsid w:val="008B3FEA"/>
    <w:rsid w:val="008C17B4"/>
    <w:rsid w:val="008C2785"/>
    <w:rsid w:val="008C2B53"/>
    <w:rsid w:val="008C3B14"/>
    <w:rsid w:val="008D16DF"/>
    <w:rsid w:val="008D2AC9"/>
    <w:rsid w:val="008D329D"/>
    <w:rsid w:val="008D4D60"/>
    <w:rsid w:val="008D4F47"/>
    <w:rsid w:val="008E3432"/>
    <w:rsid w:val="008E4175"/>
    <w:rsid w:val="008F2F65"/>
    <w:rsid w:val="008F69A1"/>
    <w:rsid w:val="009007FD"/>
    <w:rsid w:val="00902749"/>
    <w:rsid w:val="0091240F"/>
    <w:rsid w:val="00913151"/>
    <w:rsid w:val="00916797"/>
    <w:rsid w:val="0092011B"/>
    <w:rsid w:val="00921F24"/>
    <w:rsid w:val="00931D59"/>
    <w:rsid w:val="00932B37"/>
    <w:rsid w:val="00937021"/>
    <w:rsid w:val="00946E0B"/>
    <w:rsid w:val="00947A13"/>
    <w:rsid w:val="00947E40"/>
    <w:rsid w:val="00950369"/>
    <w:rsid w:val="00950992"/>
    <w:rsid w:val="009523FB"/>
    <w:rsid w:val="00952DB9"/>
    <w:rsid w:val="00955419"/>
    <w:rsid w:val="009578C9"/>
    <w:rsid w:val="0096041E"/>
    <w:rsid w:val="00960557"/>
    <w:rsid w:val="00966B76"/>
    <w:rsid w:val="00971125"/>
    <w:rsid w:val="009732CB"/>
    <w:rsid w:val="00980150"/>
    <w:rsid w:val="00980B5A"/>
    <w:rsid w:val="00982752"/>
    <w:rsid w:val="00984CFD"/>
    <w:rsid w:val="0098544E"/>
    <w:rsid w:val="00985CDC"/>
    <w:rsid w:val="009865BB"/>
    <w:rsid w:val="009871AC"/>
    <w:rsid w:val="00991894"/>
    <w:rsid w:val="00993DFA"/>
    <w:rsid w:val="009967E7"/>
    <w:rsid w:val="009A0CB2"/>
    <w:rsid w:val="009A25F3"/>
    <w:rsid w:val="009A53E0"/>
    <w:rsid w:val="009B452F"/>
    <w:rsid w:val="009B5C44"/>
    <w:rsid w:val="009B5C5B"/>
    <w:rsid w:val="009B72F4"/>
    <w:rsid w:val="009C0D8D"/>
    <w:rsid w:val="009C14D0"/>
    <w:rsid w:val="009C5AD1"/>
    <w:rsid w:val="009C75E1"/>
    <w:rsid w:val="009D11D2"/>
    <w:rsid w:val="009D2A0F"/>
    <w:rsid w:val="009D79EC"/>
    <w:rsid w:val="009D79F8"/>
    <w:rsid w:val="009E5D07"/>
    <w:rsid w:val="009F1D4E"/>
    <w:rsid w:val="009F4176"/>
    <w:rsid w:val="009F4DB5"/>
    <w:rsid w:val="009F7B82"/>
    <w:rsid w:val="00A00ECF"/>
    <w:rsid w:val="00A03BC6"/>
    <w:rsid w:val="00A03DFB"/>
    <w:rsid w:val="00A0482F"/>
    <w:rsid w:val="00A0766F"/>
    <w:rsid w:val="00A0793E"/>
    <w:rsid w:val="00A11715"/>
    <w:rsid w:val="00A17DD9"/>
    <w:rsid w:val="00A202BB"/>
    <w:rsid w:val="00A23B2D"/>
    <w:rsid w:val="00A26173"/>
    <w:rsid w:val="00A26F01"/>
    <w:rsid w:val="00A2765F"/>
    <w:rsid w:val="00A31843"/>
    <w:rsid w:val="00A3321F"/>
    <w:rsid w:val="00A351FE"/>
    <w:rsid w:val="00A40B87"/>
    <w:rsid w:val="00A41592"/>
    <w:rsid w:val="00A45456"/>
    <w:rsid w:val="00A4670F"/>
    <w:rsid w:val="00A5121B"/>
    <w:rsid w:val="00A57333"/>
    <w:rsid w:val="00A66073"/>
    <w:rsid w:val="00A66A91"/>
    <w:rsid w:val="00A67094"/>
    <w:rsid w:val="00A729BC"/>
    <w:rsid w:val="00A732EB"/>
    <w:rsid w:val="00A74A2A"/>
    <w:rsid w:val="00A75282"/>
    <w:rsid w:val="00A7649C"/>
    <w:rsid w:val="00A8473F"/>
    <w:rsid w:val="00A85A99"/>
    <w:rsid w:val="00A875F1"/>
    <w:rsid w:val="00A94D4B"/>
    <w:rsid w:val="00AA0E91"/>
    <w:rsid w:val="00AA111F"/>
    <w:rsid w:val="00AA35BE"/>
    <w:rsid w:val="00AA532B"/>
    <w:rsid w:val="00AA6F75"/>
    <w:rsid w:val="00AB1DA6"/>
    <w:rsid w:val="00AB27AB"/>
    <w:rsid w:val="00AB3389"/>
    <w:rsid w:val="00AB562D"/>
    <w:rsid w:val="00AB65AE"/>
    <w:rsid w:val="00AC1DDC"/>
    <w:rsid w:val="00AC2474"/>
    <w:rsid w:val="00AC3354"/>
    <w:rsid w:val="00AC345E"/>
    <w:rsid w:val="00AC3EBE"/>
    <w:rsid w:val="00AD1B0F"/>
    <w:rsid w:val="00AD54CD"/>
    <w:rsid w:val="00AD74AF"/>
    <w:rsid w:val="00AE0F34"/>
    <w:rsid w:val="00AE16B5"/>
    <w:rsid w:val="00AE28EE"/>
    <w:rsid w:val="00AE3CDA"/>
    <w:rsid w:val="00AF5980"/>
    <w:rsid w:val="00B00650"/>
    <w:rsid w:val="00B011AE"/>
    <w:rsid w:val="00B01C80"/>
    <w:rsid w:val="00B03F22"/>
    <w:rsid w:val="00B07AFA"/>
    <w:rsid w:val="00B12D8B"/>
    <w:rsid w:val="00B144E7"/>
    <w:rsid w:val="00B171AA"/>
    <w:rsid w:val="00B17614"/>
    <w:rsid w:val="00B202ED"/>
    <w:rsid w:val="00B26562"/>
    <w:rsid w:val="00B3363E"/>
    <w:rsid w:val="00B34AE4"/>
    <w:rsid w:val="00B431B4"/>
    <w:rsid w:val="00B47E8B"/>
    <w:rsid w:val="00B50FE1"/>
    <w:rsid w:val="00B55F70"/>
    <w:rsid w:val="00B6468A"/>
    <w:rsid w:val="00B71489"/>
    <w:rsid w:val="00B71814"/>
    <w:rsid w:val="00B71AF0"/>
    <w:rsid w:val="00B7391C"/>
    <w:rsid w:val="00B75FA3"/>
    <w:rsid w:val="00B76A83"/>
    <w:rsid w:val="00B81DEA"/>
    <w:rsid w:val="00B8410B"/>
    <w:rsid w:val="00B86402"/>
    <w:rsid w:val="00B86A83"/>
    <w:rsid w:val="00B878DF"/>
    <w:rsid w:val="00B9212F"/>
    <w:rsid w:val="00BA1064"/>
    <w:rsid w:val="00BA3596"/>
    <w:rsid w:val="00BA7198"/>
    <w:rsid w:val="00BB01F7"/>
    <w:rsid w:val="00BB3E60"/>
    <w:rsid w:val="00BC1127"/>
    <w:rsid w:val="00BC1BE2"/>
    <w:rsid w:val="00BC1CE7"/>
    <w:rsid w:val="00BC20A6"/>
    <w:rsid w:val="00BC37CD"/>
    <w:rsid w:val="00BC4F33"/>
    <w:rsid w:val="00BC5C21"/>
    <w:rsid w:val="00BD02DD"/>
    <w:rsid w:val="00BD4C8C"/>
    <w:rsid w:val="00BD7B06"/>
    <w:rsid w:val="00BE4A1D"/>
    <w:rsid w:val="00BF1135"/>
    <w:rsid w:val="00BF1CA9"/>
    <w:rsid w:val="00BF5792"/>
    <w:rsid w:val="00BF5B87"/>
    <w:rsid w:val="00C01785"/>
    <w:rsid w:val="00C12012"/>
    <w:rsid w:val="00C12629"/>
    <w:rsid w:val="00C13007"/>
    <w:rsid w:val="00C149C4"/>
    <w:rsid w:val="00C15529"/>
    <w:rsid w:val="00C20832"/>
    <w:rsid w:val="00C22A24"/>
    <w:rsid w:val="00C24375"/>
    <w:rsid w:val="00C30ED4"/>
    <w:rsid w:val="00C3400E"/>
    <w:rsid w:val="00C379B0"/>
    <w:rsid w:val="00C423AB"/>
    <w:rsid w:val="00C44773"/>
    <w:rsid w:val="00C47468"/>
    <w:rsid w:val="00C57649"/>
    <w:rsid w:val="00C57935"/>
    <w:rsid w:val="00C62584"/>
    <w:rsid w:val="00C62E89"/>
    <w:rsid w:val="00C66B8A"/>
    <w:rsid w:val="00C7321F"/>
    <w:rsid w:val="00C74CC2"/>
    <w:rsid w:val="00C825BE"/>
    <w:rsid w:val="00C82C13"/>
    <w:rsid w:val="00C82C8F"/>
    <w:rsid w:val="00C83F73"/>
    <w:rsid w:val="00C87518"/>
    <w:rsid w:val="00C901D0"/>
    <w:rsid w:val="00C93843"/>
    <w:rsid w:val="00C9486F"/>
    <w:rsid w:val="00C9594F"/>
    <w:rsid w:val="00C96829"/>
    <w:rsid w:val="00CA1E44"/>
    <w:rsid w:val="00CA2B85"/>
    <w:rsid w:val="00CA2CA2"/>
    <w:rsid w:val="00CA4C3F"/>
    <w:rsid w:val="00CA76CA"/>
    <w:rsid w:val="00CB38D0"/>
    <w:rsid w:val="00CB546A"/>
    <w:rsid w:val="00CB7B2D"/>
    <w:rsid w:val="00CC1B76"/>
    <w:rsid w:val="00CC3027"/>
    <w:rsid w:val="00CC40B9"/>
    <w:rsid w:val="00CC4188"/>
    <w:rsid w:val="00CD1F0A"/>
    <w:rsid w:val="00CE0C7C"/>
    <w:rsid w:val="00CE62C5"/>
    <w:rsid w:val="00CF0654"/>
    <w:rsid w:val="00CF13C8"/>
    <w:rsid w:val="00CF1D17"/>
    <w:rsid w:val="00CF43B4"/>
    <w:rsid w:val="00CF5B07"/>
    <w:rsid w:val="00D00303"/>
    <w:rsid w:val="00D025CF"/>
    <w:rsid w:val="00D02803"/>
    <w:rsid w:val="00D02807"/>
    <w:rsid w:val="00D04050"/>
    <w:rsid w:val="00D052EE"/>
    <w:rsid w:val="00D05607"/>
    <w:rsid w:val="00D1238F"/>
    <w:rsid w:val="00D12519"/>
    <w:rsid w:val="00D14BE9"/>
    <w:rsid w:val="00D16D44"/>
    <w:rsid w:val="00D20DA6"/>
    <w:rsid w:val="00D221D4"/>
    <w:rsid w:val="00D23439"/>
    <w:rsid w:val="00D24015"/>
    <w:rsid w:val="00D25925"/>
    <w:rsid w:val="00D25EA3"/>
    <w:rsid w:val="00D30996"/>
    <w:rsid w:val="00D347D8"/>
    <w:rsid w:val="00D358D1"/>
    <w:rsid w:val="00D37905"/>
    <w:rsid w:val="00D44F7A"/>
    <w:rsid w:val="00D50E83"/>
    <w:rsid w:val="00D519C6"/>
    <w:rsid w:val="00D52A3F"/>
    <w:rsid w:val="00D52BD9"/>
    <w:rsid w:val="00D52C31"/>
    <w:rsid w:val="00D53FCC"/>
    <w:rsid w:val="00D56580"/>
    <w:rsid w:val="00D56C68"/>
    <w:rsid w:val="00D603E8"/>
    <w:rsid w:val="00D618FE"/>
    <w:rsid w:val="00D6574E"/>
    <w:rsid w:val="00D735C9"/>
    <w:rsid w:val="00D735DB"/>
    <w:rsid w:val="00D736E9"/>
    <w:rsid w:val="00D809FC"/>
    <w:rsid w:val="00D81A38"/>
    <w:rsid w:val="00D82BEE"/>
    <w:rsid w:val="00D83490"/>
    <w:rsid w:val="00D83750"/>
    <w:rsid w:val="00D859CC"/>
    <w:rsid w:val="00D9658E"/>
    <w:rsid w:val="00D9774E"/>
    <w:rsid w:val="00DA4E9F"/>
    <w:rsid w:val="00DA6E81"/>
    <w:rsid w:val="00DA740E"/>
    <w:rsid w:val="00DB0326"/>
    <w:rsid w:val="00DB6502"/>
    <w:rsid w:val="00DC02CF"/>
    <w:rsid w:val="00DC0718"/>
    <w:rsid w:val="00DC12FB"/>
    <w:rsid w:val="00DC1C68"/>
    <w:rsid w:val="00DC4DDA"/>
    <w:rsid w:val="00DC5A69"/>
    <w:rsid w:val="00DC77F9"/>
    <w:rsid w:val="00DC7F34"/>
    <w:rsid w:val="00DD1709"/>
    <w:rsid w:val="00DD6E0C"/>
    <w:rsid w:val="00DD709C"/>
    <w:rsid w:val="00DE72D4"/>
    <w:rsid w:val="00DE744A"/>
    <w:rsid w:val="00DE752F"/>
    <w:rsid w:val="00DF19C6"/>
    <w:rsid w:val="00DF6D9D"/>
    <w:rsid w:val="00E00255"/>
    <w:rsid w:val="00E00499"/>
    <w:rsid w:val="00E070CD"/>
    <w:rsid w:val="00E14A4D"/>
    <w:rsid w:val="00E15F18"/>
    <w:rsid w:val="00E20269"/>
    <w:rsid w:val="00E22538"/>
    <w:rsid w:val="00E23439"/>
    <w:rsid w:val="00E274B2"/>
    <w:rsid w:val="00E32062"/>
    <w:rsid w:val="00E32410"/>
    <w:rsid w:val="00E37E8C"/>
    <w:rsid w:val="00E43665"/>
    <w:rsid w:val="00E45B17"/>
    <w:rsid w:val="00E50C2D"/>
    <w:rsid w:val="00E5213F"/>
    <w:rsid w:val="00E52B0B"/>
    <w:rsid w:val="00E558A1"/>
    <w:rsid w:val="00E56778"/>
    <w:rsid w:val="00E6220A"/>
    <w:rsid w:val="00E62633"/>
    <w:rsid w:val="00E633DC"/>
    <w:rsid w:val="00E64F40"/>
    <w:rsid w:val="00E6672A"/>
    <w:rsid w:val="00E67693"/>
    <w:rsid w:val="00E67C2A"/>
    <w:rsid w:val="00E7002D"/>
    <w:rsid w:val="00E7432B"/>
    <w:rsid w:val="00E77911"/>
    <w:rsid w:val="00E80790"/>
    <w:rsid w:val="00E829B8"/>
    <w:rsid w:val="00E83E4A"/>
    <w:rsid w:val="00E863F9"/>
    <w:rsid w:val="00E8795F"/>
    <w:rsid w:val="00E95C9D"/>
    <w:rsid w:val="00EA0E4F"/>
    <w:rsid w:val="00EA1D86"/>
    <w:rsid w:val="00EA2643"/>
    <w:rsid w:val="00EA34DC"/>
    <w:rsid w:val="00EB2330"/>
    <w:rsid w:val="00EB2A9B"/>
    <w:rsid w:val="00EB2B63"/>
    <w:rsid w:val="00EB2D52"/>
    <w:rsid w:val="00EB3310"/>
    <w:rsid w:val="00EB3B4E"/>
    <w:rsid w:val="00EB480A"/>
    <w:rsid w:val="00EC027E"/>
    <w:rsid w:val="00EC3779"/>
    <w:rsid w:val="00EC40F8"/>
    <w:rsid w:val="00EC4D23"/>
    <w:rsid w:val="00ED653F"/>
    <w:rsid w:val="00EE2AA0"/>
    <w:rsid w:val="00EE4C43"/>
    <w:rsid w:val="00EE69FC"/>
    <w:rsid w:val="00EF2837"/>
    <w:rsid w:val="00EF5C8D"/>
    <w:rsid w:val="00EF6C8E"/>
    <w:rsid w:val="00F0038C"/>
    <w:rsid w:val="00F011F1"/>
    <w:rsid w:val="00F041E2"/>
    <w:rsid w:val="00F0631D"/>
    <w:rsid w:val="00F11009"/>
    <w:rsid w:val="00F1723C"/>
    <w:rsid w:val="00F20F76"/>
    <w:rsid w:val="00F210E3"/>
    <w:rsid w:val="00F25A17"/>
    <w:rsid w:val="00F26619"/>
    <w:rsid w:val="00F2755C"/>
    <w:rsid w:val="00F35E00"/>
    <w:rsid w:val="00F3670F"/>
    <w:rsid w:val="00F37D49"/>
    <w:rsid w:val="00F40D68"/>
    <w:rsid w:val="00F43117"/>
    <w:rsid w:val="00F43420"/>
    <w:rsid w:val="00F44D9A"/>
    <w:rsid w:val="00F509B4"/>
    <w:rsid w:val="00F5372A"/>
    <w:rsid w:val="00F67109"/>
    <w:rsid w:val="00F7218E"/>
    <w:rsid w:val="00F727D1"/>
    <w:rsid w:val="00F742BF"/>
    <w:rsid w:val="00F80D2C"/>
    <w:rsid w:val="00F82248"/>
    <w:rsid w:val="00F82D02"/>
    <w:rsid w:val="00F83528"/>
    <w:rsid w:val="00F849F7"/>
    <w:rsid w:val="00F86934"/>
    <w:rsid w:val="00F9085C"/>
    <w:rsid w:val="00F90D10"/>
    <w:rsid w:val="00F912C1"/>
    <w:rsid w:val="00F913B3"/>
    <w:rsid w:val="00F95304"/>
    <w:rsid w:val="00F95963"/>
    <w:rsid w:val="00F96806"/>
    <w:rsid w:val="00FA73BB"/>
    <w:rsid w:val="00FA7BCF"/>
    <w:rsid w:val="00FB33BE"/>
    <w:rsid w:val="00FB51F2"/>
    <w:rsid w:val="00FB5793"/>
    <w:rsid w:val="00FC560A"/>
    <w:rsid w:val="00FC61A2"/>
    <w:rsid w:val="00FD23D5"/>
    <w:rsid w:val="00FD4385"/>
    <w:rsid w:val="00FE2FC2"/>
    <w:rsid w:val="00FE4A2A"/>
    <w:rsid w:val="00FE4D37"/>
    <w:rsid w:val="00FF4AB5"/>
    <w:rsid w:val="00FF532F"/>
    <w:rsid w:val="00FF53D3"/>
    <w:rsid w:val="00FF6184"/>
    <w:rsid w:val="00FF7901"/>
    <w:rsid w:val="03A714A6"/>
    <w:rsid w:val="03FD5967"/>
    <w:rsid w:val="04C8213D"/>
    <w:rsid w:val="04E35DC0"/>
    <w:rsid w:val="05F035F0"/>
    <w:rsid w:val="06F975B0"/>
    <w:rsid w:val="07DB3BFF"/>
    <w:rsid w:val="0D531611"/>
    <w:rsid w:val="12336B6B"/>
    <w:rsid w:val="14255524"/>
    <w:rsid w:val="1ECA3D89"/>
    <w:rsid w:val="28406118"/>
    <w:rsid w:val="29167C98"/>
    <w:rsid w:val="297A560F"/>
    <w:rsid w:val="2A8A37F8"/>
    <w:rsid w:val="2B144428"/>
    <w:rsid w:val="2CEA38C5"/>
    <w:rsid w:val="3241706E"/>
    <w:rsid w:val="35EB6DD3"/>
    <w:rsid w:val="36DF6106"/>
    <w:rsid w:val="377E79E0"/>
    <w:rsid w:val="37FA67F4"/>
    <w:rsid w:val="39496376"/>
    <w:rsid w:val="41F069A7"/>
    <w:rsid w:val="42560EC2"/>
    <w:rsid w:val="43716E43"/>
    <w:rsid w:val="47AC0D06"/>
    <w:rsid w:val="4CC53B18"/>
    <w:rsid w:val="50152A21"/>
    <w:rsid w:val="56A37B8A"/>
    <w:rsid w:val="618B730C"/>
    <w:rsid w:val="653A620F"/>
    <w:rsid w:val="67B8460E"/>
    <w:rsid w:val="6B143644"/>
    <w:rsid w:val="6DD8450A"/>
    <w:rsid w:val="6DF31860"/>
    <w:rsid w:val="71525805"/>
    <w:rsid w:val="740372A8"/>
    <w:rsid w:val="75845AEB"/>
    <w:rsid w:val="773D428F"/>
    <w:rsid w:val="7A002FF4"/>
    <w:rsid w:val="7D127081"/>
    <w:rsid w:val="7EBD11E9"/>
    <w:rsid w:val="DFFF9DE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nhideWhenUsed="0" w:uiPriority="0" w:name="footnote text"/>
    <w:lsdException w:qFormat="1" w:unhideWhenUsed="0" w:uiPriority="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qFormat/>
    <w:uiPriority w:val="0"/>
    <w:pPr>
      <w:keepNext/>
      <w:keepLines/>
      <w:spacing w:before="260" w:after="260" w:line="416" w:lineRule="auto"/>
      <w:outlineLvl w:val="2"/>
    </w:pPr>
    <w:rPr>
      <w:b/>
      <w:bCs/>
      <w:sz w:val="32"/>
      <w:szCs w:val="32"/>
    </w:rPr>
  </w:style>
  <w:style w:type="paragraph" w:styleId="5">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qFormat/>
    <w:uiPriority w:val="0"/>
    <w:pPr>
      <w:keepNext/>
      <w:keepLines/>
      <w:spacing w:before="280" w:after="290" w:line="376" w:lineRule="auto"/>
      <w:outlineLvl w:val="4"/>
    </w:pPr>
    <w:rPr>
      <w:b/>
      <w:bCs/>
      <w:sz w:val="28"/>
      <w:szCs w:val="28"/>
    </w:rPr>
  </w:style>
  <w:style w:type="paragraph" w:styleId="7">
    <w:name w:val="heading 6"/>
    <w:basedOn w:val="1"/>
    <w:next w:val="1"/>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qFormat/>
    <w:uiPriority w:val="0"/>
    <w:pPr>
      <w:keepNext/>
      <w:keepLines/>
      <w:spacing w:before="240" w:after="64" w:line="320" w:lineRule="auto"/>
      <w:outlineLvl w:val="6"/>
    </w:pPr>
    <w:rPr>
      <w:b/>
      <w:bCs/>
      <w:sz w:val="24"/>
    </w:rPr>
  </w:style>
  <w:style w:type="paragraph" w:styleId="9">
    <w:name w:val="heading 8"/>
    <w:basedOn w:val="1"/>
    <w:next w:val="1"/>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qFormat/>
    <w:uiPriority w:val="0"/>
    <w:pPr>
      <w:keepNext/>
      <w:keepLines/>
      <w:spacing w:before="240" w:after="64" w:line="320" w:lineRule="auto"/>
      <w:outlineLvl w:val="8"/>
    </w:pPr>
    <w:rPr>
      <w:rFonts w:ascii="Arial" w:hAnsi="Arial" w:eastAsia="黑体"/>
      <w:szCs w:val="21"/>
    </w:rPr>
  </w:style>
  <w:style w:type="character" w:default="1" w:styleId="40">
    <w:name w:val="Default Paragraph Font"/>
    <w:semiHidden/>
    <w:unhideWhenUsed/>
    <w:uiPriority w:val="1"/>
  </w:style>
  <w:style w:type="table" w:default="1" w:styleId="38">
    <w:name w:val="Normal Table"/>
    <w:semiHidden/>
    <w:unhideWhenUsed/>
    <w:uiPriority w:val="99"/>
    <w:tblPr>
      <w:tblCellMar>
        <w:top w:w="0" w:type="dxa"/>
        <w:left w:w="108" w:type="dxa"/>
        <w:bottom w:w="0" w:type="dxa"/>
        <w:right w:w="108" w:type="dxa"/>
      </w:tblCellMar>
    </w:tblPr>
  </w:style>
  <w:style w:type="paragraph" w:styleId="11">
    <w:name w:val="toc 7"/>
    <w:basedOn w:val="12"/>
    <w:next w:val="1"/>
    <w:semiHidden/>
    <w:qFormat/>
    <w:uiPriority w:val="0"/>
  </w:style>
  <w:style w:type="paragraph" w:styleId="12">
    <w:name w:val="toc 6"/>
    <w:basedOn w:val="13"/>
    <w:next w:val="1"/>
    <w:semiHidden/>
    <w:qFormat/>
    <w:uiPriority w:val="0"/>
  </w:style>
  <w:style w:type="paragraph" w:styleId="13">
    <w:name w:val="toc 5"/>
    <w:basedOn w:val="14"/>
    <w:next w:val="1"/>
    <w:semiHidden/>
    <w:qFormat/>
    <w:uiPriority w:val="0"/>
  </w:style>
  <w:style w:type="paragraph" w:styleId="14">
    <w:name w:val="toc 4"/>
    <w:basedOn w:val="15"/>
    <w:next w:val="1"/>
    <w:semiHidden/>
    <w:qFormat/>
    <w:uiPriority w:val="0"/>
  </w:style>
  <w:style w:type="paragraph" w:styleId="15">
    <w:name w:val="toc 3"/>
    <w:basedOn w:val="16"/>
    <w:next w:val="1"/>
    <w:semiHidden/>
    <w:qFormat/>
    <w:uiPriority w:val="0"/>
  </w:style>
  <w:style w:type="paragraph" w:styleId="16">
    <w:name w:val="toc 2"/>
    <w:basedOn w:val="17"/>
    <w:next w:val="1"/>
    <w:semiHidden/>
    <w:qFormat/>
    <w:uiPriority w:val="0"/>
  </w:style>
  <w:style w:type="paragraph" w:styleId="17">
    <w:name w:val="toc 1"/>
    <w:next w:val="1"/>
    <w:semiHidden/>
    <w:qFormat/>
    <w:uiPriority w:val="0"/>
    <w:pPr>
      <w:jc w:val="both"/>
    </w:pPr>
    <w:rPr>
      <w:rFonts w:ascii="宋体" w:hAnsi="Times New Roman" w:eastAsia="宋体" w:cs="Times New Roman"/>
      <w:sz w:val="21"/>
      <w:lang w:val="en-US" w:eastAsia="zh-CN" w:bidi="ar-SA"/>
    </w:rPr>
  </w:style>
  <w:style w:type="paragraph" w:styleId="18">
    <w:name w:val="Normal Indent"/>
    <w:basedOn w:val="1"/>
    <w:qFormat/>
    <w:uiPriority w:val="0"/>
    <w:pPr>
      <w:ind w:firstLine="420"/>
    </w:pPr>
  </w:style>
  <w:style w:type="paragraph" w:styleId="19">
    <w:name w:val="Document Map"/>
    <w:basedOn w:val="1"/>
    <w:semiHidden/>
    <w:qFormat/>
    <w:uiPriority w:val="0"/>
    <w:pPr>
      <w:shd w:val="clear" w:color="auto" w:fill="000080"/>
    </w:pPr>
  </w:style>
  <w:style w:type="paragraph" w:styleId="20">
    <w:name w:val="toa heading"/>
    <w:basedOn w:val="1"/>
    <w:next w:val="1"/>
    <w:semiHidden/>
    <w:qFormat/>
    <w:uiPriority w:val="0"/>
    <w:pPr>
      <w:widowControl/>
      <w:tabs>
        <w:tab w:val="left" w:pos="720"/>
      </w:tabs>
    </w:pPr>
    <w:rPr>
      <w:b/>
      <w:kern w:val="0"/>
      <w:sz w:val="22"/>
    </w:rPr>
  </w:style>
  <w:style w:type="paragraph" w:styleId="21">
    <w:name w:val="annotation text"/>
    <w:basedOn w:val="1"/>
    <w:link w:val="128"/>
    <w:semiHidden/>
    <w:qFormat/>
    <w:uiPriority w:val="0"/>
    <w:pPr>
      <w:jc w:val="left"/>
    </w:pPr>
  </w:style>
  <w:style w:type="paragraph" w:styleId="22">
    <w:name w:val="Body Text"/>
    <w:basedOn w:val="1"/>
    <w:qFormat/>
    <w:uiPriority w:val="0"/>
    <w:pPr>
      <w:spacing w:after="120"/>
    </w:pPr>
  </w:style>
  <w:style w:type="paragraph" w:styleId="23">
    <w:name w:val="Body Text Indent"/>
    <w:basedOn w:val="1"/>
    <w:qFormat/>
    <w:uiPriority w:val="0"/>
    <w:pPr>
      <w:ind w:left="420" w:hanging="420" w:hangingChars="200"/>
    </w:pPr>
  </w:style>
  <w:style w:type="paragraph" w:styleId="24">
    <w:name w:val="HTML Address"/>
    <w:basedOn w:val="1"/>
    <w:qFormat/>
    <w:uiPriority w:val="0"/>
    <w:rPr>
      <w:i/>
      <w:iCs/>
    </w:rPr>
  </w:style>
  <w:style w:type="paragraph" w:styleId="25">
    <w:name w:val="Plain Text"/>
    <w:basedOn w:val="1"/>
    <w:qFormat/>
    <w:uiPriority w:val="0"/>
    <w:rPr>
      <w:rFonts w:ascii="宋体" w:hAnsi="Courier New"/>
      <w:szCs w:val="21"/>
    </w:rPr>
  </w:style>
  <w:style w:type="paragraph" w:styleId="26">
    <w:name w:val="toc 8"/>
    <w:basedOn w:val="11"/>
    <w:next w:val="1"/>
    <w:semiHidden/>
    <w:qFormat/>
    <w:uiPriority w:val="0"/>
  </w:style>
  <w:style w:type="paragraph" w:styleId="27">
    <w:name w:val="Date"/>
    <w:basedOn w:val="1"/>
    <w:next w:val="1"/>
    <w:qFormat/>
    <w:uiPriority w:val="0"/>
    <w:rPr>
      <w:rFonts w:ascii="黑体" w:eastAsia="黑体"/>
      <w:b/>
    </w:rPr>
  </w:style>
  <w:style w:type="paragraph" w:styleId="28">
    <w:name w:val="Balloon Text"/>
    <w:basedOn w:val="1"/>
    <w:semiHidden/>
    <w:qFormat/>
    <w:uiPriority w:val="0"/>
    <w:rPr>
      <w:sz w:val="18"/>
      <w:szCs w:val="18"/>
    </w:rPr>
  </w:style>
  <w:style w:type="paragraph" w:styleId="29">
    <w:name w:val="footer"/>
    <w:basedOn w:val="1"/>
    <w:link w:val="64"/>
    <w:qFormat/>
    <w:uiPriority w:val="99"/>
    <w:pPr>
      <w:tabs>
        <w:tab w:val="center" w:pos="4153"/>
        <w:tab w:val="right" w:pos="8306"/>
      </w:tabs>
      <w:snapToGrid w:val="0"/>
      <w:ind w:right="210" w:rightChars="100"/>
      <w:jc w:val="right"/>
    </w:pPr>
    <w:rPr>
      <w:sz w:val="18"/>
      <w:szCs w:val="18"/>
    </w:rPr>
  </w:style>
  <w:style w:type="paragraph" w:styleId="30">
    <w:name w:val="header"/>
    <w:basedOn w:val="1"/>
    <w:link w:val="63"/>
    <w:qFormat/>
    <w:uiPriority w:val="0"/>
    <w:pPr>
      <w:pBdr>
        <w:bottom w:val="single" w:color="auto" w:sz="6" w:space="1"/>
      </w:pBdr>
      <w:tabs>
        <w:tab w:val="center" w:pos="4153"/>
        <w:tab w:val="right" w:pos="8306"/>
      </w:tabs>
      <w:snapToGrid w:val="0"/>
      <w:jc w:val="center"/>
    </w:pPr>
    <w:rPr>
      <w:sz w:val="18"/>
      <w:szCs w:val="18"/>
    </w:rPr>
  </w:style>
  <w:style w:type="paragraph" w:styleId="31">
    <w:name w:val="footnote text"/>
    <w:basedOn w:val="1"/>
    <w:semiHidden/>
    <w:qFormat/>
    <w:uiPriority w:val="0"/>
    <w:pPr>
      <w:snapToGrid w:val="0"/>
      <w:jc w:val="left"/>
    </w:pPr>
    <w:rPr>
      <w:sz w:val="18"/>
      <w:szCs w:val="18"/>
    </w:rPr>
  </w:style>
  <w:style w:type="paragraph" w:styleId="32">
    <w:name w:val="Body Text Indent 3"/>
    <w:basedOn w:val="1"/>
    <w:qFormat/>
    <w:uiPriority w:val="0"/>
    <w:pPr>
      <w:spacing w:after="120"/>
      <w:ind w:left="420" w:leftChars="200"/>
    </w:pPr>
    <w:rPr>
      <w:sz w:val="16"/>
      <w:szCs w:val="16"/>
    </w:rPr>
  </w:style>
  <w:style w:type="paragraph" w:styleId="33">
    <w:name w:val="toc 9"/>
    <w:basedOn w:val="26"/>
    <w:next w:val="1"/>
    <w:semiHidden/>
    <w:qFormat/>
    <w:uiPriority w:val="0"/>
  </w:style>
  <w:style w:type="paragraph" w:styleId="34">
    <w:name w:val="HTML Preformatted"/>
    <w:basedOn w:val="1"/>
    <w:qFormat/>
    <w:uiPriority w:val="0"/>
    <w:rPr>
      <w:rFonts w:ascii="Courier New" w:hAnsi="Courier New" w:cs="Courier New"/>
      <w:sz w:val="20"/>
    </w:rPr>
  </w:style>
  <w:style w:type="paragraph" w:styleId="35">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styleId="36">
    <w:name w:val="Title"/>
    <w:basedOn w:val="1"/>
    <w:link w:val="62"/>
    <w:qFormat/>
    <w:uiPriority w:val="0"/>
    <w:pPr>
      <w:spacing w:before="240" w:after="60"/>
      <w:jc w:val="center"/>
      <w:outlineLvl w:val="0"/>
    </w:pPr>
    <w:rPr>
      <w:rFonts w:ascii="Arial" w:hAnsi="Arial" w:cs="Arial"/>
      <w:b/>
      <w:bCs/>
      <w:sz w:val="32"/>
      <w:szCs w:val="32"/>
    </w:rPr>
  </w:style>
  <w:style w:type="paragraph" w:styleId="37">
    <w:name w:val="annotation subject"/>
    <w:basedOn w:val="21"/>
    <w:next w:val="21"/>
    <w:semiHidden/>
    <w:qFormat/>
    <w:uiPriority w:val="0"/>
    <w:rPr>
      <w:b/>
      <w:bCs/>
    </w:rPr>
  </w:style>
  <w:style w:type="table" w:styleId="39">
    <w:name w:val="Table Grid"/>
    <w:basedOn w:val="38"/>
    <w:qFormat/>
    <w:uiPriority w:val="59"/>
    <w:rPr>
      <w:rFonts w:ascii="Calibri" w:hAnsi="Calibri"/>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1">
    <w:name w:val="page number"/>
    <w:qFormat/>
    <w:uiPriority w:val="0"/>
    <w:rPr>
      <w:rFonts w:ascii="Times New Roman" w:hAnsi="Times New Roman" w:eastAsia="宋体"/>
      <w:sz w:val="18"/>
    </w:rPr>
  </w:style>
  <w:style w:type="character" w:styleId="42">
    <w:name w:val="FollowedHyperlink"/>
    <w:qFormat/>
    <w:uiPriority w:val="0"/>
    <w:rPr>
      <w:color w:val="800080"/>
      <w:u w:val="single"/>
    </w:rPr>
  </w:style>
  <w:style w:type="character" w:styleId="43">
    <w:name w:val="HTML Definition"/>
    <w:qFormat/>
    <w:uiPriority w:val="0"/>
    <w:rPr>
      <w:i/>
      <w:iCs/>
    </w:rPr>
  </w:style>
  <w:style w:type="character" w:styleId="44">
    <w:name w:val="HTML Typewriter"/>
    <w:qFormat/>
    <w:uiPriority w:val="0"/>
    <w:rPr>
      <w:rFonts w:ascii="Courier New" w:hAnsi="Courier New"/>
      <w:sz w:val="20"/>
      <w:szCs w:val="20"/>
    </w:rPr>
  </w:style>
  <w:style w:type="character" w:styleId="45">
    <w:name w:val="HTML Acronym"/>
    <w:basedOn w:val="40"/>
    <w:qFormat/>
    <w:uiPriority w:val="0"/>
  </w:style>
  <w:style w:type="character" w:styleId="46">
    <w:name w:val="HTML Variable"/>
    <w:qFormat/>
    <w:uiPriority w:val="0"/>
    <w:rPr>
      <w:i/>
      <w:iCs/>
    </w:rPr>
  </w:style>
  <w:style w:type="character" w:styleId="47">
    <w:name w:val="Hyperlink"/>
    <w:qFormat/>
    <w:uiPriority w:val="0"/>
    <w:rPr>
      <w:rFonts w:ascii="Times New Roman" w:hAnsi="Times New Roman" w:eastAsia="宋体"/>
      <w:color w:val="auto"/>
      <w:spacing w:val="0"/>
      <w:w w:val="100"/>
      <w:position w:val="0"/>
      <w:sz w:val="21"/>
      <w:u w:val="none"/>
      <w:vertAlign w:val="baseline"/>
    </w:rPr>
  </w:style>
  <w:style w:type="character" w:styleId="48">
    <w:name w:val="HTML Code"/>
    <w:qFormat/>
    <w:uiPriority w:val="0"/>
    <w:rPr>
      <w:rFonts w:ascii="Courier New" w:hAnsi="Courier New"/>
      <w:sz w:val="20"/>
      <w:szCs w:val="20"/>
    </w:rPr>
  </w:style>
  <w:style w:type="character" w:styleId="49">
    <w:name w:val="annotation reference"/>
    <w:semiHidden/>
    <w:qFormat/>
    <w:uiPriority w:val="0"/>
    <w:rPr>
      <w:sz w:val="21"/>
      <w:szCs w:val="21"/>
    </w:rPr>
  </w:style>
  <w:style w:type="character" w:styleId="50">
    <w:name w:val="HTML Cite"/>
    <w:qFormat/>
    <w:uiPriority w:val="0"/>
    <w:rPr>
      <w:i/>
      <w:iCs/>
    </w:rPr>
  </w:style>
  <w:style w:type="character" w:styleId="51">
    <w:name w:val="footnote reference"/>
    <w:semiHidden/>
    <w:qFormat/>
    <w:uiPriority w:val="0"/>
    <w:rPr>
      <w:vertAlign w:val="superscript"/>
    </w:rPr>
  </w:style>
  <w:style w:type="character" w:styleId="52">
    <w:name w:val="HTML Keyboard"/>
    <w:qFormat/>
    <w:uiPriority w:val="0"/>
    <w:rPr>
      <w:rFonts w:ascii="Courier New" w:hAnsi="Courier New"/>
      <w:sz w:val="20"/>
      <w:szCs w:val="20"/>
    </w:rPr>
  </w:style>
  <w:style w:type="character" w:styleId="53">
    <w:name w:val="HTML Sample"/>
    <w:qFormat/>
    <w:uiPriority w:val="0"/>
    <w:rPr>
      <w:rFonts w:ascii="Courier New" w:hAnsi="Courier New"/>
    </w:rPr>
  </w:style>
  <w:style w:type="character" w:customStyle="1" w:styleId="54">
    <w:name w:val="发布"/>
    <w:qFormat/>
    <w:uiPriority w:val="0"/>
    <w:rPr>
      <w:rFonts w:ascii="黑体" w:eastAsia="黑体"/>
      <w:spacing w:val="22"/>
      <w:w w:val="100"/>
      <w:position w:val="3"/>
      <w:sz w:val="28"/>
    </w:rPr>
  </w:style>
  <w:style w:type="character" w:customStyle="1" w:styleId="55">
    <w:name w:val="个人答复风格"/>
    <w:qFormat/>
    <w:uiPriority w:val="0"/>
    <w:rPr>
      <w:rFonts w:ascii="Arial" w:hAnsi="Arial" w:eastAsia="宋体" w:cs="Arial"/>
      <w:color w:val="auto"/>
      <w:sz w:val="20"/>
    </w:rPr>
  </w:style>
  <w:style w:type="character" w:customStyle="1" w:styleId="56">
    <w:name w:val="个人撰写风格"/>
    <w:qFormat/>
    <w:uiPriority w:val="0"/>
    <w:rPr>
      <w:rFonts w:ascii="Arial" w:hAnsi="Arial" w:eastAsia="宋体" w:cs="Arial"/>
      <w:color w:val="auto"/>
      <w:sz w:val="20"/>
    </w:rPr>
  </w:style>
  <w:style w:type="character" w:customStyle="1" w:styleId="57">
    <w:name w:val="mtitle1"/>
    <w:qFormat/>
    <w:uiPriority w:val="0"/>
    <w:rPr>
      <w:rFonts w:hint="default" w:ascii="ˎ̥" w:hAnsi="ˎ̥"/>
      <w:color w:val="000000"/>
      <w:sz w:val="21"/>
      <w:szCs w:val="21"/>
    </w:rPr>
  </w:style>
  <w:style w:type="character" w:customStyle="1" w:styleId="58">
    <w:name w:val="段 Char"/>
    <w:link w:val="59"/>
    <w:qFormat/>
    <w:uiPriority w:val="0"/>
    <w:rPr>
      <w:rFonts w:ascii="宋体"/>
      <w:sz w:val="21"/>
      <w:lang w:val="en-US" w:eastAsia="zh-CN" w:bidi="ar-SA"/>
    </w:rPr>
  </w:style>
  <w:style w:type="paragraph" w:customStyle="1" w:styleId="59">
    <w:name w:val="段"/>
    <w:link w:val="58"/>
    <w:qFormat/>
    <w:uiPriority w:val="0"/>
    <w:pPr>
      <w:ind w:firstLine="200" w:firstLineChars="200"/>
      <w:jc w:val="both"/>
    </w:pPr>
    <w:rPr>
      <w:rFonts w:ascii="宋体" w:hAnsi="Times New Roman" w:eastAsia="宋体" w:cs="Times New Roman"/>
      <w:sz w:val="21"/>
      <w:lang w:val="en-US" w:eastAsia="zh-CN" w:bidi="ar-SA"/>
    </w:rPr>
  </w:style>
  <w:style w:type="character" w:customStyle="1" w:styleId="60">
    <w:name w:val="goog_qs-tidbit-1"/>
    <w:basedOn w:val="40"/>
    <w:qFormat/>
    <w:uiPriority w:val="0"/>
  </w:style>
  <w:style w:type="character" w:customStyle="1" w:styleId="61">
    <w:name w:val="goog_qs-tidbit goog_qs-tidbit-1"/>
    <w:basedOn w:val="40"/>
    <w:qFormat/>
    <w:uiPriority w:val="0"/>
  </w:style>
  <w:style w:type="character" w:customStyle="1" w:styleId="62">
    <w:name w:val="标题 Char"/>
    <w:link w:val="36"/>
    <w:qFormat/>
    <w:locked/>
    <w:uiPriority w:val="0"/>
    <w:rPr>
      <w:rFonts w:ascii="Arial" w:hAnsi="Arial" w:eastAsia="宋体" w:cs="Arial"/>
      <w:b/>
      <w:bCs/>
      <w:kern w:val="2"/>
      <w:sz w:val="32"/>
      <w:szCs w:val="32"/>
      <w:lang w:val="en-US" w:eastAsia="zh-CN" w:bidi="ar-SA"/>
    </w:rPr>
  </w:style>
  <w:style w:type="character" w:customStyle="1" w:styleId="63">
    <w:name w:val="页眉 Char"/>
    <w:link w:val="30"/>
    <w:qFormat/>
    <w:locked/>
    <w:uiPriority w:val="0"/>
    <w:rPr>
      <w:rFonts w:eastAsia="宋体"/>
      <w:kern w:val="2"/>
      <w:sz w:val="18"/>
      <w:szCs w:val="18"/>
      <w:lang w:val="en-US" w:eastAsia="zh-CN" w:bidi="ar-SA"/>
    </w:rPr>
  </w:style>
  <w:style w:type="character" w:customStyle="1" w:styleId="64">
    <w:name w:val="页脚 Char"/>
    <w:link w:val="29"/>
    <w:qFormat/>
    <w:uiPriority w:val="99"/>
    <w:rPr>
      <w:kern w:val="2"/>
      <w:sz w:val="18"/>
      <w:szCs w:val="18"/>
    </w:rPr>
  </w:style>
  <w:style w:type="paragraph" w:customStyle="1" w:styleId="65">
    <w:name w:val="示例"/>
    <w:next w:val="59"/>
    <w:qFormat/>
    <w:uiPriority w:val="0"/>
    <w:pPr>
      <w:numPr>
        <w:ilvl w:val="0"/>
        <w:numId w:val="1"/>
      </w:numPr>
      <w:tabs>
        <w:tab w:val="left" w:pos="816"/>
        <w:tab w:val="clear" w:pos="1120"/>
      </w:tabs>
      <w:ind w:firstLine="419" w:firstLineChars="233"/>
      <w:jc w:val="both"/>
    </w:pPr>
    <w:rPr>
      <w:rFonts w:ascii="宋体" w:hAnsi="Times New Roman" w:eastAsia="宋体" w:cs="Times New Roman"/>
      <w:sz w:val="18"/>
      <w:lang w:val="en-US" w:eastAsia="zh-CN" w:bidi="ar-SA"/>
    </w:rPr>
  </w:style>
  <w:style w:type="paragraph" w:customStyle="1" w:styleId="66">
    <w:name w:val="二级无标题条"/>
    <w:basedOn w:val="1"/>
    <w:qFormat/>
    <w:uiPriority w:val="0"/>
    <w:pPr>
      <w:numPr>
        <w:ilvl w:val="3"/>
        <w:numId w:val="2"/>
      </w:numPr>
    </w:pPr>
  </w:style>
  <w:style w:type="paragraph" w:customStyle="1" w:styleId="67">
    <w:name w:val="其他发布部门"/>
    <w:basedOn w:val="68"/>
    <w:qFormat/>
    <w:uiPriority w:val="0"/>
    <w:pPr>
      <w:spacing w:line="0" w:lineRule="atLeast"/>
    </w:pPr>
    <w:rPr>
      <w:rFonts w:ascii="黑体" w:eastAsia="黑体"/>
      <w:b w:val="0"/>
    </w:rPr>
  </w:style>
  <w:style w:type="paragraph" w:customStyle="1" w:styleId="68">
    <w:name w:val="发布部门"/>
    <w:next w:val="59"/>
    <w:qFormat/>
    <w:uiPriority w:val="0"/>
    <w:pPr>
      <w:jc w:val="center"/>
    </w:pPr>
    <w:rPr>
      <w:rFonts w:ascii="宋体" w:hAnsi="Times New Roman" w:eastAsia="宋体" w:cs="Times New Roman"/>
      <w:b/>
      <w:spacing w:val="20"/>
      <w:w w:val="135"/>
      <w:sz w:val="36"/>
      <w:lang w:val="en-US" w:eastAsia="zh-CN" w:bidi="ar-SA"/>
    </w:rPr>
  </w:style>
  <w:style w:type="paragraph" w:customStyle="1" w:styleId="69">
    <w:name w:val="标准书眉_偶数页"/>
    <w:basedOn w:val="70"/>
    <w:next w:val="1"/>
    <w:qFormat/>
    <w:uiPriority w:val="0"/>
    <w:pPr>
      <w:tabs>
        <w:tab w:val="center" w:pos="4154"/>
        <w:tab w:val="right" w:pos="8306"/>
      </w:tabs>
      <w:jc w:val="left"/>
    </w:pPr>
  </w:style>
  <w:style w:type="paragraph" w:customStyle="1" w:styleId="70">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71">
    <w:name w:val="附录四级条标题"/>
    <w:basedOn w:val="72"/>
    <w:next w:val="59"/>
    <w:qFormat/>
    <w:uiPriority w:val="0"/>
    <w:pPr>
      <w:numPr>
        <w:ilvl w:val="5"/>
      </w:numPr>
      <w:outlineLvl w:val="5"/>
    </w:pPr>
  </w:style>
  <w:style w:type="paragraph" w:customStyle="1" w:styleId="72">
    <w:name w:val="附录三级条标题"/>
    <w:basedOn w:val="73"/>
    <w:next w:val="59"/>
    <w:qFormat/>
    <w:uiPriority w:val="0"/>
    <w:pPr>
      <w:numPr>
        <w:ilvl w:val="4"/>
      </w:numPr>
      <w:outlineLvl w:val="4"/>
    </w:pPr>
  </w:style>
  <w:style w:type="paragraph" w:customStyle="1" w:styleId="73">
    <w:name w:val="附录二级条标题"/>
    <w:basedOn w:val="74"/>
    <w:next w:val="59"/>
    <w:qFormat/>
    <w:uiPriority w:val="0"/>
    <w:pPr>
      <w:numPr>
        <w:ilvl w:val="3"/>
      </w:numPr>
      <w:outlineLvl w:val="3"/>
    </w:pPr>
  </w:style>
  <w:style w:type="paragraph" w:customStyle="1" w:styleId="74">
    <w:name w:val="附录一级条标题"/>
    <w:basedOn w:val="75"/>
    <w:next w:val="59"/>
    <w:qFormat/>
    <w:uiPriority w:val="0"/>
    <w:pPr>
      <w:numPr>
        <w:ilvl w:val="2"/>
      </w:numPr>
      <w:autoSpaceDN w:val="0"/>
      <w:spacing w:beforeLines="0" w:afterLines="0"/>
      <w:outlineLvl w:val="2"/>
    </w:pPr>
  </w:style>
  <w:style w:type="paragraph" w:customStyle="1" w:styleId="75">
    <w:name w:val="附录章标题"/>
    <w:next w:val="59"/>
    <w:qFormat/>
    <w:uiPriority w:val="0"/>
    <w:pPr>
      <w:numPr>
        <w:ilvl w:val="1"/>
        <w:numId w:val="3"/>
      </w:numPr>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76">
    <w:name w:val="一级条标题"/>
    <w:basedOn w:val="77"/>
    <w:next w:val="59"/>
    <w:qFormat/>
    <w:uiPriority w:val="0"/>
    <w:pPr>
      <w:spacing w:beforeLines="0" w:afterLines="0"/>
      <w:outlineLvl w:val="2"/>
    </w:pPr>
  </w:style>
  <w:style w:type="paragraph" w:customStyle="1" w:styleId="77">
    <w:name w:val="章标题"/>
    <w:next w:val="59"/>
    <w:qFormat/>
    <w:uiPriority w:val="0"/>
    <w:pPr>
      <w:spacing w:beforeLines="50" w:afterLines="50"/>
      <w:jc w:val="both"/>
      <w:outlineLvl w:val="1"/>
    </w:pPr>
    <w:rPr>
      <w:rFonts w:ascii="黑体" w:hAnsi="Times New Roman" w:eastAsia="黑体" w:cs="Times New Roman"/>
      <w:sz w:val="21"/>
      <w:lang w:val="en-US" w:eastAsia="zh-CN" w:bidi="ar-SA"/>
    </w:rPr>
  </w:style>
  <w:style w:type="paragraph" w:customStyle="1" w:styleId="78">
    <w:name w:val="前言、引言标题"/>
    <w:next w:val="1"/>
    <w:qFormat/>
    <w:uiPriority w:val="0"/>
    <w:pPr>
      <w:numPr>
        <w:ilvl w:val="0"/>
        <w:numId w:val="4"/>
      </w:num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79">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80">
    <w:name w:val="三级条标题"/>
    <w:basedOn w:val="81"/>
    <w:next w:val="59"/>
    <w:qFormat/>
    <w:uiPriority w:val="0"/>
    <w:pPr>
      <w:numPr>
        <w:ilvl w:val="4"/>
        <w:numId w:val="4"/>
      </w:numPr>
      <w:outlineLvl w:val="4"/>
    </w:pPr>
  </w:style>
  <w:style w:type="paragraph" w:customStyle="1" w:styleId="81">
    <w:name w:val="二级条标题"/>
    <w:basedOn w:val="76"/>
    <w:next w:val="59"/>
    <w:qFormat/>
    <w:uiPriority w:val="0"/>
    <w:pPr>
      <w:outlineLvl w:val="3"/>
    </w:pPr>
  </w:style>
  <w:style w:type="paragraph" w:customStyle="1" w:styleId="82">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bCs/>
      <w:spacing w:val="20"/>
      <w:w w:val="148"/>
      <w:sz w:val="52"/>
      <w:lang w:val="en-US" w:eastAsia="zh-CN" w:bidi="ar-SA"/>
    </w:rPr>
  </w:style>
  <w:style w:type="paragraph" w:customStyle="1" w:styleId="83">
    <w:name w:val="附录五级条标题"/>
    <w:basedOn w:val="71"/>
    <w:next w:val="59"/>
    <w:qFormat/>
    <w:uiPriority w:val="0"/>
    <w:pPr>
      <w:numPr>
        <w:ilvl w:val="6"/>
      </w:numPr>
      <w:outlineLvl w:val="6"/>
    </w:pPr>
  </w:style>
  <w:style w:type="paragraph" w:customStyle="1" w:styleId="84">
    <w:name w:val="标准书眉一"/>
    <w:qFormat/>
    <w:uiPriority w:val="0"/>
    <w:pPr>
      <w:jc w:val="both"/>
    </w:pPr>
    <w:rPr>
      <w:rFonts w:ascii="Times New Roman" w:hAnsi="Times New Roman" w:eastAsia="宋体" w:cs="Times New Roman"/>
      <w:lang w:val="en-US" w:eastAsia="zh-CN" w:bidi="ar-SA"/>
    </w:rPr>
  </w:style>
  <w:style w:type="paragraph" w:customStyle="1" w:styleId="85">
    <w:name w:val="标准标志"/>
    <w:next w:val="1"/>
    <w:qFormat/>
    <w:uiPriority w:val="0"/>
    <w:pPr>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86">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87">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88">
    <w:name w:val="参考文献、索引标题"/>
    <w:basedOn w:val="78"/>
    <w:next w:val="1"/>
    <w:qFormat/>
    <w:uiPriority w:val="0"/>
    <w:pPr>
      <w:numPr>
        <w:numId w:val="0"/>
      </w:numPr>
      <w:spacing w:after="200"/>
    </w:pPr>
    <w:rPr>
      <w:sz w:val="21"/>
    </w:rPr>
  </w:style>
  <w:style w:type="paragraph" w:customStyle="1" w:styleId="89">
    <w:name w:val="发布日期"/>
    <w:qFormat/>
    <w:uiPriority w:val="0"/>
    <w:rPr>
      <w:rFonts w:ascii="Times New Roman" w:hAnsi="Times New Roman" w:eastAsia="黑体" w:cs="Times New Roman"/>
      <w:sz w:val="28"/>
      <w:lang w:val="en-US" w:eastAsia="zh-CN" w:bidi="ar-SA"/>
    </w:rPr>
  </w:style>
  <w:style w:type="paragraph" w:customStyle="1" w:styleId="90">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91">
    <w:name w:val="实施日期"/>
    <w:basedOn w:val="89"/>
    <w:qFormat/>
    <w:uiPriority w:val="0"/>
    <w:pPr>
      <w:jc w:val="right"/>
    </w:pPr>
  </w:style>
  <w:style w:type="paragraph" w:customStyle="1" w:styleId="92">
    <w:name w:val="封面标准号2"/>
    <w:basedOn w:val="90"/>
    <w:qFormat/>
    <w:uiPriority w:val="0"/>
    <w:pPr>
      <w:adjustRightInd w:val="0"/>
      <w:spacing w:before="357" w:line="280" w:lineRule="exact"/>
    </w:pPr>
  </w:style>
  <w:style w:type="paragraph" w:customStyle="1" w:styleId="93">
    <w:name w:val="封面标准代替信息"/>
    <w:basedOn w:val="92"/>
    <w:qFormat/>
    <w:uiPriority w:val="0"/>
    <w:pPr>
      <w:spacing w:before="57"/>
    </w:pPr>
    <w:rPr>
      <w:rFonts w:ascii="宋体"/>
      <w:sz w:val="21"/>
    </w:rPr>
  </w:style>
  <w:style w:type="paragraph" w:customStyle="1" w:styleId="94">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95">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96">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97">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98">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99">
    <w:name w:val="封面正文"/>
    <w:qFormat/>
    <w:uiPriority w:val="0"/>
    <w:pPr>
      <w:jc w:val="both"/>
    </w:pPr>
    <w:rPr>
      <w:rFonts w:ascii="Times New Roman" w:hAnsi="Times New Roman" w:eastAsia="宋体" w:cs="Times New Roman"/>
      <w:lang w:val="en-US" w:eastAsia="zh-CN" w:bidi="ar-SA"/>
    </w:rPr>
  </w:style>
  <w:style w:type="paragraph" w:customStyle="1" w:styleId="100">
    <w:name w:val="附录标识"/>
    <w:basedOn w:val="78"/>
    <w:qFormat/>
    <w:uiPriority w:val="0"/>
    <w:pPr>
      <w:numPr>
        <w:ilvl w:val="0"/>
        <w:numId w:val="3"/>
      </w:numPr>
      <w:tabs>
        <w:tab w:val="left" w:pos="6405"/>
      </w:tabs>
      <w:spacing w:after="200"/>
    </w:pPr>
    <w:rPr>
      <w:sz w:val="21"/>
    </w:rPr>
  </w:style>
  <w:style w:type="paragraph" w:customStyle="1" w:styleId="101">
    <w:name w:val="附录表标题"/>
    <w:next w:val="59"/>
    <w:qFormat/>
    <w:uiPriority w:val="0"/>
    <w:pPr>
      <w:jc w:val="center"/>
      <w:textAlignment w:val="baseline"/>
    </w:pPr>
    <w:rPr>
      <w:rFonts w:ascii="黑体" w:hAnsi="Times New Roman" w:eastAsia="黑体" w:cs="Times New Roman"/>
      <w:kern w:val="21"/>
      <w:sz w:val="21"/>
      <w:lang w:val="en-US" w:eastAsia="zh-CN" w:bidi="ar-SA"/>
    </w:rPr>
  </w:style>
  <w:style w:type="paragraph" w:customStyle="1" w:styleId="102">
    <w:name w:val="附录图标题"/>
    <w:next w:val="59"/>
    <w:qFormat/>
    <w:uiPriority w:val="0"/>
    <w:pPr>
      <w:jc w:val="center"/>
    </w:pPr>
    <w:rPr>
      <w:rFonts w:ascii="黑体" w:hAnsi="Times New Roman" w:eastAsia="黑体" w:cs="Times New Roman"/>
      <w:sz w:val="21"/>
      <w:lang w:val="en-US" w:eastAsia="zh-CN" w:bidi="ar-SA"/>
    </w:rPr>
  </w:style>
  <w:style w:type="paragraph" w:customStyle="1" w:styleId="103">
    <w:name w:val="列项——"/>
    <w:qFormat/>
    <w:uiPriority w:val="0"/>
    <w:pPr>
      <w:widowControl w:val="0"/>
      <w:numPr>
        <w:ilvl w:val="0"/>
        <w:numId w:val="5"/>
      </w:numPr>
      <w:tabs>
        <w:tab w:val="left" w:pos="854"/>
        <w:tab w:val="clear" w:pos="1140"/>
      </w:tabs>
      <w:ind w:left="200" w:leftChars="200" w:hanging="200" w:hangingChars="200"/>
      <w:jc w:val="both"/>
    </w:pPr>
    <w:rPr>
      <w:rFonts w:ascii="宋体" w:hAnsi="Times New Roman" w:eastAsia="宋体" w:cs="Times New Roman"/>
      <w:sz w:val="21"/>
      <w:lang w:val="en-US" w:eastAsia="zh-CN" w:bidi="ar-SA"/>
    </w:rPr>
  </w:style>
  <w:style w:type="paragraph" w:customStyle="1" w:styleId="104">
    <w:name w:val="列项·"/>
    <w:qFormat/>
    <w:uiPriority w:val="0"/>
    <w:pPr>
      <w:numPr>
        <w:ilvl w:val="0"/>
        <w:numId w:val="6"/>
      </w:numPr>
      <w:tabs>
        <w:tab w:val="left" w:pos="840"/>
        <w:tab w:val="clear" w:pos="1140"/>
      </w:tabs>
      <w:ind w:left="840" w:leftChars="200" w:hanging="420" w:hangingChars="200"/>
      <w:jc w:val="both"/>
    </w:pPr>
    <w:rPr>
      <w:rFonts w:ascii="宋体" w:hAnsi="Times New Roman" w:eastAsia="宋体" w:cs="Times New Roman"/>
      <w:sz w:val="21"/>
      <w:lang w:val="en-US" w:eastAsia="zh-CN" w:bidi="ar-SA"/>
    </w:rPr>
  </w:style>
  <w:style w:type="paragraph" w:customStyle="1" w:styleId="105">
    <w:name w:val="目次、标准名称标题"/>
    <w:basedOn w:val="78"/>
    <w:next w:val="59"/>
    <w:qFormat/>
    <w:uiPriority w:val="0"/>
    <w:pPr>
      <w:numPr>
        <w:numId w:val="0"/>
      </w:numPr>
      <w:spacing w:line="460" w:lineRule="exact"/>
    </w:pPr>
  </w:style>
  <w:style w:type="paragraph" w:customStyle="1" w:styleId="106">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07">
    <w:name w:val="三级无标题条"/>
    <w:basedOn w:val="1"/>
    <w:qFormat/>
    <w:uiPriority w:val="0"/>
    <w:pPr>
      <w:numPr>
        <w:ilvl w:val="4"/>
        <w:numId w:val="2"/>
      </w:numPr>
    </w:pPr>
  </w:style>
  <w:style w:type="paragraph" w:customStyle="1" w:styleId="108">
    <w:name w:val="数字编号列项（二级）"/>
    <w:qFormat/>
    <w:uiPriority w:val="0"/>
    <w:pPr>
      <w:ind w:left="1260" w:leftChars="400" w:hanging="420" w:hangingChars="200"/>
      <w:jc w:val="both"/>
    </w:pPr>
    <w:rPr>
      <w:rFonts w:ascii="宋体" w:hAnsi="Times New Roman" w:eastAsia="宋体" w:cs="Times New Roman"/>
      <w:sz w:val="21"/>
      <w:lang w:val="en-US" w:eastAsia="zh-CN" w:bidi="ar-SA"/>
    </w:rPr>
  </w:style>
  <w:style w:type="paragraph" w:customStyle="1" w:styleId="109">
    <w:name w:val="四级条标题"/>
    <w:basedOn w:val="80"/>
    <w:next w:val="59"/>
    <w:qFormat/>
    <w:uiPriority w:val="0"/>
    <w:pPr>
      <w:numPr>
        <w:ilvl w:val="5"/>
      </w:numPr>
      <w:outlineLvl w:val="5"/>
    </w:pPr>
  </w:style>
  <w:style w:type="paragraph" w:customStyle="1" w:styleId="110">
    <w:name w:val="四级无标题条"/>
    <w:basedOn w:val="1"/>
    <w:qFormat/>
    <w:uiPriority w:val="0"/>
    <w:pPr>
      <w:numPr>
        <w:ilvl w:val="5"/>
        <w:numId w:val="2"/>
      </w:numPr>
    </w:pPr>
  </w:style>
  <w:style w:type="paragraph" w:customStyle="1" w:styleId="111">
    <w:name w:val="条文脚注"/>
    <w:basedOn w:val="31"/>
    <w:qFormat/>
    <w:uiPriority w:val="0"/>
    <w:pPr>
      <w:ind w:left="780" w:leftChars="200" w:hanging="360" w:hangingChars="200"/>
      <w:jc w:val="both"/>
    </w:pPr>
    <w:rPr>
      <w:rFonts w:ascii="宋体"/>
    </w:rPr>
  </w:style>
  <w:style w:type="paragraph" w:customStyle="1" w:styleId="112">
    <w:name w:val="图表脚注"/>
    <w:next w:val="59"/>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113">
    <w:name w:val="文献分类号"/>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114">
    <w:name w:val="无标题条"/>
    <w:next w:val="59"/>
    <w:qFormat/>
    <w:uiPriority w:val="0"/>
    <w:pPr>
      <w:jc w:val="both"/>
    </w:pPr>
    <w:rPr>
      <w:rFonts w:ascii="Times New Roman" w:hAnsi="Times New Roman" w:eastAsia="宋体" w:cs="Times New Roman"/>
      <w:sz w:val="21"/>
      <w:lang w:val="en-US" w:eastAsia="zh-CN" w:bidi="ar-SA"/>
    </w:rPr>
  </w:style>
  <w:style w:type="paragraph" w:customStyle="1" w:styleId="115">
    <w:name w:val="五级条标题"/>
    <w:basedOn w:val="109"/>
    <w:next w:val="59"/>
    <w:qFormat/>
    <w:uiPriority w:val="0"/>
    <w:pPr>
      <w:numPr>
        <w:ilvl w:val="6"/>
      </w:numPr>
      <w:outlineLvl w:val="6"/>
    </w:pPr>
  </w:style>
  <w:style w:type="paragraph" w:customStyle="1" w:styleId="116">
    <w:name w:val="五级无标题条"/>
    <w:basedOn w:val="1"/>
    <w:qFormat/>
    <w:uiPriority w:val="0"/>
    <w:pPr>
      <w:numPr>
        <w:ilvl w:val="6"/>
        <w:numId w:val="2"/>
      </w:numPr>
    </w:pPr>
  </w:style>
  <w:style w:type="paragraph" w:customStyle="1" w:styleId="117">
    <w:name w:val="一级无标题条"/>
    <w:basedOn w:val="1"/>
    <w:qFormat/>
    <w:uiPriority w:val="0"/>
  </w:style>
  <w:style w:type="paragraph" w:customStyle="1" w:styleId="118">
    <w:name w:val="正文表标题"/>
    <w:next w:val="59"/>
    <w:qFormat/>
    <w:uiPriority w:val="0"/>
    <w:pPr>
      <w:numPr>
        <w:ilvl w:val="0"/>
        <w:numId w:val="7"/>
      </w:numPr>
      <w:jc w:val="center"/>
    </w:pPr>
    <w:rPr>
      <w:rFonts w:ascii="黑体" w:hAnsi="Times New Roman" w:eastAsia="黑体" w:cs="Times New Roman"/>
      <w:sz w:val="21"/>
      <w:lang w:val="en-US" w:eastAsia="zh-CN" w:bidi="ar-SA"/>
    </w:rPr>
  </w:style>
  <w:style w:type="paragraph" w:customStyle="1" w:styleId="119">
    <w:name w:val="正文图标题"/>
    <w:next w:val="59"/>
    <w:qFormat/>
    <w:uiPriority w:val="0"/>
    <w:pPr>
      <w:numPr>
        <w:ilvl w:val="0"/>
        <w:numId w:val="8"/>
      </w:numPr>
      <w:jc w:val="center"/>
    </w:pPr>
    <w:rPr>
      <w:rFonts w:ascii="黑体" w:hAnsi="Times New Roman" w:eastAsia="黑体" w:cs="Times New Roman"/>
      <w:sz w:val="21"/>
      <w:lang w:val="en-US" w:eastAsia="zh-CN" w:bidi="ar-SA"/>
    </w:rPr>
  </w:style>
  <w:style w:type="paragraph" w:customStyle="1" w:styleId="120">
    <w:name w:val="注："/>
    <w:next w:val="59"/>
    <w:qFormat/>
    <w:uiPriority w:val="0"/>
    <w:pPr>
      <w:widowControl w:val="0"/>
      <w:numPr>
        <w:ilvl w:val="0"/>
        <w:numId w:val="9"/>
      </w:numPr>
      <w:tabs>
        <w:tab w:val="clear" w:pos="1140"/>
      </w:tabs>
      <w:autoSpaceDE w:val="0"/>
      <w:autoSpaceDN w:val="0"/>
      <w:jc w:val="both"/>
    </w:pPr>
    <w:rPr>
      <w:rFonts w:ascii="宋体" w:hAnsi="Times New Roman" w:eastAsia="宋体" w:cs="Times New Roman"/>
      <w:sz w:val="18"/>
      <w:lang w:val="en-US" w:eastAsia="zh-CN" w:bidi="ar-SA"/>
    </w:rPr>
  </w:style>
  <w:style w:type="paragraph" w:customStyle="1" w:styleId="121">
    <w:name w:val="注×："/>
    <w:qFormat/>
    <w:uiPriority w:val="0"/>
    <w:pPr>
      <w:widowControl w:val="0"/>
      <w:numPr>
        <w:ilvl w:val="0"/>
        <w:numId w:val="10"/>
      </w:numPr>
      <w:tabs>
        <w:tab w:val="left" w:pos="630"/>
        <w:tab w:val="clear" w:pos="900"/>
      </w:tabs>
      <w:autoSpaceDE w:val="0"/>
      <w:autoSpaceDN w:val="0"/>
      <w:jc w:val="both"/>
    </w:pPr>
    <w:rPr>
      <w:rFonts w:ascii="宋体" w:hAnsi="Times New Roman" w:eastAsia="宋体" w:cs="Times New Roman"/>
      <w:sz w:val="18"/>
      <w:lang w:val="en-US" w:eastAsia="zh-CN" w:bidi="ar-SA"/>
    </w:rPr>
  </w:style>
  <w:style w:type="paragraph" w:customStyle="1" w:styleId="122">
    <w:name w:val="字母编号列项（一级）"/>
    <w:qFormat/>
    <w:uiPriority w:val="0"/>
    <w:pPr>
      <w:ind w:left="840" w:leftChars="200" w:hanging="420" w:hangingChars="200"/>
      <w:jc w:val="both"/>
    </w:pPr>
    <w:rPr>
      <w:rFonts w:ascii="宋体" w:hAnsi="Times New Roman" w:eastAsia="宋体" w:cs="Times New Roman"/>
      <w:sz w:val="21"/>
      <w:lang w:val="en-US" w:eastAsia="zh-CN" w:bidi="ar-SA"/>
    </w:rPr>
  </w:style>
  <w:style w:type="paragraph" w:customStyle="1" w:styleId="123">
    <w:name w:val="Char Char Char Char Char Char1"/>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24">
    <w:name w:val="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25">
    <w:name w:val="_Style 123"/>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26">
    <w:name w:val="修订1"/>
    <w:hidden/>
    <w:semiHidden/>
    <w:qFormat/>
    <w:uiPriority w:val="99"/>
    <w:rPr>
      <w:rFonts w:ascii="Times New Roman" w:hAnsi="Times New Roman" w:eastAsia="宋体" w:cs="Times New Roman"/>
      <w:kern w:val="2"/>
      <w:sz w:val="21"/>
      <w:lang w:val="en-US" w:eastAsia="zh-CN" w:bidi="ar-SA"/>
    </w:rPr>
  </w:style>
  <w:style w:type="paragraph" w:customStyle="1" w:styleId="127">
    <w:name w:val="列出段落1"/>
    <w:basedOn w:val="1"/>
    <w:qFormat/>
    <w:uiPriority w:val="0"/>
    <w:pPr>
      <w:ind w:firstLine="420" w:firstLineChars="200"/>
    </w:pPr>
    <w:rPr>
      <w:rFonts w:ascii="Calibri" w:hAnsi="Calibri"/>
      <w:szCs w:val="22"/>
    </w:rPr>
  </w:style>
  <w:style w:type="character" w:customStyle="1" w:styleId="128">
    <w:name w:val="批注文字 Char"/>
    <w:basedOn w:val="40"/>
    <w:link w:val="21"/>
    <w:semiHidden/>
    <w:qFormat/>
    <w:uiPriority w:val="0"/>
    <w:rPr>
      <w:kern w:val="2"/>
      <w:sz w:val="21"/>
    </w:rPr>
  </w:style>
  <w:style w:type="paragraph" w:customStyle="1" w:styleId="129">
    <w:name w:val="列出段落2"/>
    <w:basedOn w:val="1"/>
    <w:qFormat/>
    <w:uiPriority w:val="34"/>
    <w:pPr>
      <w:ind w:firstLine="420" w:firstLineChars="200"/>
    </w:pPr>
  </w:style>
  <w:style w:type="paragraph" w:customStyle="1" w:styleId="130">
    <w:name w:val="标准文件_段"/>
    <w:link w:val="13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131">
    <w:name w:val="标准文件_段 Char"/>
    <w:link w:val="130"/>
    <w:qFormat/>
    <w:uiPriority w:val="0"/>
    <w:rPr>
      <w:rFonts w:ascii="宋体"/>
      <w:sz w:val="21"/>
    </w:rPr>
  </w:style>
</w:styles>
</file>

<file path=word/_rels/document.xml.rels><?xml version="1.0" encoding="UTF-8" standalone="yes"?>
<Relationships xmlns="http://schemas.openxmlformats.org/package/2006/relationships"><Relationship Id="rId9" Type="http://schemas.openxmlformats.org/officeDocument/2006/relationships/image" Target="media/image1.emf"/><Relationship Id="rId8" Type="http://schemas.openxmlformats.org/officeDocument/2006/relationships/package" Target="embeddings/Microsoft_Visio___1.vsdx"/><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F1FBD0-34C9-4DD9-9E7F-A2BA02232742}">
  <ds:schemaRefs/>
</ds:datastoreItem>
</file>

<file path=docProps/app.xml><?xml version="1.0" encoding="utf-8"?>
<Properties xmlns="http://schemas.openxmlformats.org/officeDocument/2006/extended-properties" xmlns:vt="http://schemas.openxmlformats.org/officeDocument/2006/docPropsVTypes">
  <Template>Normal</Template>
  <Company>中国标准研究中心</Company>
  <Pages>8</Pages>
  <Words>543</Words>
  <Characters>3096</Characters>
  <Lines>25</Lines>
  <Paragraphs>7</Paragraphs>
  <TotalTime>209</TotalTime>
  <ScaleCrop>false</ScaleCrop>
  <LinksUpToDate>false</LinksUpToDate>
  <CharactersWithSpaces>3632</CharactersWithSpaces>
  <Application>WPS Office_12.1.26046.26046_F1E327BC-269C-435d-A152-05C5408002CA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2018-06-07T17:29:00Z</dcterms:created>
  <dc:creator>USER</dc:creator>
  <cp:lastModifiedBy>sasa</cp:lastModifiedBy>
  <cp:lastPrinted>2015-09-09T14:55:00Z</cp:lastPrinted>
  <dcterms:modified xsi:type="dcterms:W3CDTF">2026-11-03T20:14:06Z</dcterms:modified>
  <dc:title>小蔗螟检疫鉴定方法</dc:title>
  <cp:revision>144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2052-12.1.26046.26046</vt:lpwstr>
  </property>
  <property fmtid="{D5CDD505-2E9C-101B-9397-08002B2CF9AE}" pid="3" name="ICV">
    <vt:lpwstr>80EA6733300B4DE3B1773E91D2F91A69_12</vt:lpwstr>
  </property>
</Properties>
</file>