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方正小标宋简体" w:eastAsia="方正小标宋简体"/>
          <w:sz w:val="32"/>
          <w:szCs w:val="32"/>
        </w:rPr>
      </w:pPr>
      <w:bookmarkStart w:id="0" w:name="_GoBack"/>
      <w:bookmarkEnd w:id="0"/>
      <w:r>
        <w:rPr>
          <w:rFonts w:hint="eastAsia" w:ascii="方正小标宋简体" w:eastAsia="方正小标宋简体"/>
          <w:sz w:val="32"/>
          <w:szCs w:val="32"/>
        </w:rPr>
        <w:t>认证认可</w:t>
      </w:r>
      <w:r>
        <w:rPr>
          <w:rFonts w:ascii="方正小标宋简体" w:eastAsia="方正小标宋简体"/>
          <w:sz w:val="32"/>
          <w:szCs w:val="32"/>
        </w:rPr>
        <w:t>行业标准草案编制说明</w:t>
      </w: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1384"/>
        <w:gridCol w:w="1155"/>
        <w:gridCol w:w="2105"/>
        <w:gridCol w:w="1128"/>
        <w:gridCol w:w="181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8" w:hRule="atLeast"/>
        </w:trPr>
        <w:tc>
          <w:tcPr>
            <w:tcW w:w="9384" w:type="dxa"/>
            <w:gridSpan w:val="6"/>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1、基本信息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8" w:hRule="atLeast"/>
        </w:trPr>
        <w:tc>
          <w:tcPr>
            <w:tcW w:w="1794" w:type="dxa"/>
            <w:vMerge w:val="restart"/>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1.1 标准草案名称</w:t>
            </w:r>
          </w:p>
        </w:tc>
        <w:tc>
          <w:tcPr>
            <w:tcW w:w="13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中文</w:t>
            </w:r>
          </w:p>
        </w:tc>
        <w:tc>
          <w:tcPr>
            <w:tcW w:w="6206"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olor w:val="000000"/>
                <w:szCs w:val="21"/>
                <w:lang w:val="en-US" w:eastAsia="zh-CN"/>
              </w:rPr>
            </w:pPr>
            <w:r>
              <w:rPr>
                <w:rFonts w:hint="default" w:ascii="宋体" w:hAnsi="宋体" w:eastAsia="宋体"/>
                <w:color w:val="000000"/>
                <w:szCs w:val="21"/>
                <w:lang w:val="en-US" w:eastAsia="zh-CN"/>
              </w:rPr>
              <w:t>检验检测机构 资质认定数据规范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548" w:hRule="atLeast"/>
        </w:trPr>
        <w:tc>
          <w:tcPr>
            <w:tcW w:w="1794" w:type="dxa"/>
            <w:vMerge w:val="continue"/>
            <w:tcBorders>
              <w:top w:val="single" w:color="auto" w:sz="4" w:space="0"/>
              <w:left w:val="single" w:color="auto" w:sz="4" w:space="0"/>
              <w:bottom w:val="single" w:color="auto" w:sz="4" w:space="0"/>
              <w:right w:val="single" w:color="auto" w:sz="4" w:space="0"/>
            </w:tcBorders>
            <w:vAlign w:val="center"/>
          </w:tcPr>
          <w:p>
            <w:pPr>
              <w:ind w:left="141" w:leftChars="67" w:right="176" w:rightChars="84"/>
              <w:jc w:val="center"/>
              <w:rPr>
                <w:rFonts w:ascii="宋体" w:hAnsi="宋体"/>
                <w:color w:val="000000"/>
                <w:szCs w:val="21"/>
              </w:rPr>
            </w:pPr>
          </w:p>
        </w:tc>
        <w:tc>
          <w:tcPr>
            <w:tcW w:w="1384" w:type="dxa"/>
            <w:tcBorders>
              <w:top w:val="single" w:color="auto" w:sz="4" w:space="0"/>
              <w:left w:val="single" w:color="auto" w:sz="4" w:space="0"/>
              <w:bottom w:val="single" w:color="auto" w:sz="6" w:space="0"/>
              <w:right w:val="single" w:color="auto" w:sz="4" w:space="0"/>
            </w:tcBorders>
            <w:vAlign w:val="center"/>
          </w:tcPr>
          <w:p>
            <w:pPr>
              <w:jc w:val="center"/>
              <w:rPr>
                <w:rFonts w:ascii="宋体" w:hAnsi="宋体"/>
                <w:color w:val="000000"/>
                <w:szCs w:val="21"/>
              </w:rPr>
            </w:pPr>
            <w:r>
              <w:rPr>
                <w:rFonts w:ascii="宋体" w:hAnsi="宋体"/>
                <w:color w:val="000000"/>
                <w:szCs w:val="21"/>
              </w:rPr>
              <w:t>英文</w:t>
            </w:r>
          </w:p>
        </w:tc>
        <w:tc>
          <w:tcPr>
            <w:tcW w:w="6206" w:type="dxa"/>
            <w:gridSpan w:val="4"/>
            <w:tcBorders>
              <w:top w:val="single" w:color="auto" w:sz="4" w:space="0"/>
              <w:left w:val="single" w:color="auto" w:sz="4" w:space="0"/>
              <w:bottom w:val="single" w:color="auto" w:sz="4" w:space="0"/>
            </w:tcBorders>
            <w:vAlign w:val="center"/>
          </w:tcPr>
          <w:p>
            <w:pPr>
              <w:rPr>
                <w:rFonts w:ascii="宋体" w:hAnsi="宋体"/>
                <w:color w:val="000000"/>
                <w:szCs w:val="21"/>
              </w:rPr>
            </w:pPr>
            <w:r>
              <w:rPr>
                <w:rFonts w:hint="eastAsia" w:ascii="宋体" w:hAnsi="宋体"/>
                <w:color w:val="000000"/>
                <w:szCs w:val="21"/>
                <w:lang w:val="en-US" w:eastAsia="zh-CN"/>
              </w:rPr>
              <w:t xml:space="preserve">Data </w:t>
            </w:r>
            <w:r>
              <w:rPr>
                <w:rFonts w:hint="eastAsia" w:ascii="宋体" w:hAnsi="宋体"/>
                <w:color w:val="000000"/>
                <w:szCs w:val="21"/>
              </w:rPr>
              <w:t xml:space="preserve">Specifications for </w:t>
            </w:r>
            <w:r>
              <w:rPr>
                <w:rFonts w:hint="eastAsia" w:ascii="宋体" w:hAnsi="宋体"/>
                <w:color w:val="000000"/>
                <w:szCs w:val="21"/>
                <w:lang w:val="en-US" w:eastAsia="zh-CN"/>
              </w:rPr>
              <w:t>I</w:t>
            </w:r>
            <w:r>
              <w:rPr>
                <w:rFonts w:hint="eastAsia" w:ascii="宋体" w:hAnsi="宋体"/>
                <w:color w:val="000000"/>
                <w:szCs w:val="21"/>
              </w:rPr>
              <w:t xml:space="preserve">nspection </w:t>
            </w:r>
            <w:r>
              <w:rPr>
                <w:rFonts w:hint="eastAsia" w:ascii="宋体" w:hAnsi="宋体"/>
                <w:color w:val="000000"/>
                <w:szCs w:val="21"/>
                <w:lang w:val="en-US" w:eastAsia="zh-CN"/>
              </w:rPr>
              <w:t>B</w:t>
            </w:r>
            <w:r>
              <w:rPr>
                <w:rFonts w:hint="eastAsia" w:ascii="宋体" w:hAnsi="宋体"/>
                <w:color w:val="000000"/>
                <w:szCs w:val="21"/>
              </w:rPr>
              <w:t xml:space="preserve">ody and </w:t>
            </w:r>
            <w:r>
              <w:rPr>
                <w:rFonts w:hint="eastAsia" w:ascii="宋体" w:hAnsi="宋体"/>
                <w:color w:val="000000"/>
                <w:szCs w:val="21"/>
                <w:lang w:val="en-US" w:eastAsia="zh-CN"/>
              </w:rPr>
              <w:t>L</w:t>
            </w:r>
            <w:r>
              <w:rPr>
                <w:rFonts w:hint="eastAsia" w:ascii="宋体" w:hAnsi="宋体"/>
                <w:color w:val="000000"/>
                <w:szCs w:val="21"/>
              </w:rPr>
              <w:t xml:space="preserve">aboratory </w:t>
            </w:r>
            <w:r>
              <w:rPr>
                <w:rFonts w:hint="eastAsia" w:ascii="宋体" w:hAnsi="宋体"/>
                <w:color w:val="000000"/>
                <w:szCs w:val="21"/>
                <w:lang w:val="en-US" w:eastAsia="zh-CN"/>
              </w:rPr>
              <w:t>M</w:t>
            </w:r>
            <w:r>
              <w:rPr>
                <w:rFonts w:hint="eastAsia" w:ascii="宋体" w:hAnsi="宋体"/>
                <w:color w:val="000000"/>
                <w:szCs w:val="21"/>
              </w:rPr>
              <w:t xml:space="preserve">andatory </w:t>
            </w:r>
            <w:r>
              <w:rPr>
                <w:rFonts w:hint="eastAsia" w:ascii="宋体" w:hAnsi="宋体"/>
                <w:color w:val="000000"/>
                <w:szCs w:val="21"/>
                <w:lang w:val="en-US" w:eastAsia="zh-CN"/>
              </w:rPr>
              <w:t>A</w:t>
            </w:r>
            <w:r>
              <w:rPr>
                <w:rFonts w:hint="eastAsia" w:ascii="宋体" w:hAnsi="宋体"/>
                <w:color w:val="000000"/>
                <w:szCs w:val="21"/>
              </w:rPr>
              <w:t>pproval</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3" w:hRule="atLeast"/>
        </w:trPr>
        <w:tc>
          <w:tcPr>
            <w:tcW w:w="1794" w:type="dxa"/>
            <w:vMerge w:val="restart"/>
            <w:tcBorders>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1.2 与国际标准和国外先进标准一致</w:t>
            </w:r>
            <w:r>
              <w:rPr>
                <w:rFonts w:hint="eastAsia" w:ascii="宋体" w:hAnsi="宋体"/>
                <w:color w:val="000000"/>
                <w:szCs w:val="21"/>
              </w:rPr>
              <w:t>性</w:t>
            </w:r>
            <w:r>
              <w:rPr>
                <w:rFonts w:ascii="宋体" w:hAnsi="宋体"/>
                <w:color w:val="000000"/>
                <w:szCs w:val="21"/>
              </w:rPr>
              <w:t>程度情况</w:t>
            </w:r>
          </w:p>
        </w:tc>
        <w:tc>
          <w:tcPr>
            <w:tcW w:w="1384" w:type="dxa"/>
            <w:vMerge w:val="restart"/>
            <w:tcBorders>
              <w:left w:val="single" w:color="auto" w:sz="4" w:space="0"/>
              <w:right w:val="single" w:color="auto" w:sz="4" w:space="0"/>
            </w:tcBorders>
            <w:vAlign w:val="center"/>
          </w:tcPr>
          <w:p>
            <w:pPr>
              <w:rPr>
                <w:rFonts w:ascii="宋体" w:hAnsi="宋体"/>
                <w:color w:val="000000"/>
                <w:szCs w:val="21"/>
              </w:rPr>
            </w:pPr>
            <w:r>
              <w:rPr>
                <w:rFonts w:ascii="宋体" w:hAnsi="宋体"/>
                <w:color w:val="000000"/>
                <w:szCs w:val="21"/>
              </w:rPr>
              <w:t>□等同</w:t>
            </w:r>
            <w:r>
              <w:rPr>
                <w:rFonts w:hint="eastAsia" w:ascii="宋体" w:hAnsi="宋体"/>
                <w:color w:val="000000"/>
                <w:szCs w:val="21"/>
              </w:rPr>
              <w:t>采用</w:t>
            </w:r>
          </w:p>
          <w:p>
            <w:pPr>
              <w:rPr>
                <w:rFonts w:ascii="宋体" w:hAnsi="宋体"/>
                <w:color w:val="000000"/>
                <w:szCs w:val="21"/>
              </w:rPr>
            </w:pPr>
            <w:r>
              <w:rPr>
                <w:rFonts w:ascii="宋体" w:hAnsi="宋体"/>
                <w:color w:val="000000"/>
                <w:szCs w:val="21"/>
              </w:rPr>
              <w:t>□修改</w:t>
            </w:r>
            <w:r>
              <w:rPr>
                <w:rFonts w:hint="eastAsia" w:ascii="宋体" w:hAnsi="宋体"/>
                <w:color w:val="000000"/>
                <w:szCs w:val="21"/>
              </w:rPr>
              <w:t>采用</w:t>
            </w:r>
          </w:p>
          <w:p>
            <w:pPr>
              <w:rPr>
                <w:rFonts w:ascii="宋体" w:hAnsi="宋体"/>
                <w:color w:val="000000"/>
                <w:szCs w:val="21"/>
              </w:rPr>
            </w:pPr>
            <w:r>
              <w:rPr>
                <w:rFonts w:ascii="宋体" w:hAnsi="宋体"/>
                <w:color w:val="000000"/>
                <w:szCs w:val="21"/>
              </w:rPr>
              <w:t>□非等效</w:t>
            </w:r>
            <w:r>
              <w:rPr>
                <w:rFonts w:hint="eastAsia" w:ascii="宋体" w:hAnsi="宋体"/>
                <w:color w:val="000000"/>
                <w:szCs w:val="21"/>
              </w:rPr>
              <w:t>采用</w:t>
            </w:r>
          </w:p>
          <w:p>
            <w:pPr>
              <w:rPr>
                <w:rFonts w:ascii="宋体" w:hAnsi="宋体"/>
                <w:color w:val="000000"/>
                <w:szCs w:val="21"/>
              </w:rPr>
            </w:pPr>
            <w:r>
              <w:rPr>
                <w:rFonts w:hint="eastAsia" w:ascii="宋体" w:hAnsi="宋体"/>
                <w:color w:val="000000"/>
                <w:szCs w:val="21"/>
                <w:lang w:eastAsia="zh-CN"/>
              </w:rPr>
              <w:t>☑</w:t>
            </w:r>
            <w:r>
              <w:rPr>
                <w:rFonts w:hint="eastAsia" w:ascii="宋体" w:hAnsi="宋体"/>
                <w:color w:val="000000"/>
                <w:szCs w:val="21"/>
              </w:rPr>
              <w:t>未采用</w:t>
            </w:r>
          </w:p>
        </w:tc>
        <w:tc>
          <w:tcPr>
            <w:tcW w:w="1155" w:type="dxa"/>
            <w:tcBorders>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标准</w:t>
            </w:r>
            <w:r>
              <w:rPr>
                <w:rFonts w:hint="eastAsia" w:ascii="宋体" w:hAnsi="宋体"/>
                <w:color w:val="000000"/>
                <w:szCs w:val="21"/>
              </w:rPr>
              <w:t>编</w:t>
            </w:r>
            <w:r>
              <w:rPr>
                <w:rFonts w:ascii="宋体" w:hAnsi="宋体"/>
                <w:color w:val="000000"/>
                <w:szCs w:val="21"/>
              </w:rPr>
              <w:t>号</w:t>
            </w:r>
          </w:p>
        </w:tc>
        <w:tc>
          <w:tcPr>
            <w:tcW w:w="5051" w:type="dxa"/>
            <w:gridSpan w:val="3"/>
            <w:tcBorders>
              <w:left w:val="single" w:color="auto" w:sz="4" w:space="0"/>
              <w:bottom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59" w:hRule="atLeast"/>
        </w:trPr>
        <w:tc>
          <w:tcPr>
            <w:tcW w:w="1794" w:type="dxa"/>
            <w:vMerge w:val="continue"/>
            <w:tcBorders>
              <w:right w:val="single" w:color="auto" w:sz="4" w:space="0"/>
            </w:tcBorders>
            <w:vAlign w:val="center"/>
          </w:tcPr>
          <w:p>
            <w:pPr>
              <w:ind w:left="141" w:leftChars="67" w:right="176" w:rightChars="84"/>
              <w:jc w:val="center"/>
              <w:rPr>
                <w:rFonts w:ascii="宋体" w:hAnsi="宋体"/>
                <w:color w:val="000000"/>
                <w:szCs w:val="21"/>
              </w:rPr>
            </w:pPr>
          </w:p>
        </w:tc>
        <w:tc>
          <w:tcPr>
            <w:tcW w:w="1384" w:type="dxa"/>
            <w:vMerge w:val="continue"/>
            <w:tcBorders>
              <w:left w:val="single" w:color="auto" w:sz="4" w:space="0"/>
              <w:right w:val="single" w:color="auto" w:sz="4" w:space="0"/>
            </w:tcBorders>
            <w:vAlign w:val="center"/>
          </w:tcPr>
          <w:p>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英文名称</w:t>
            </w:r>
          </w:p>
        </w:tc>
        <w:tc>
          <w:tcPr>
            <w:tcW w:w="5051" w:type="dxa"/>
            <w:gridSpan w:val="3"/>
            <w:tcBorders>
              <w:top w:val="single" w:color="auto" w:sz="4" w:space="0"/>
              <w:left w:val="single" w:color="auto" w:sz="4" w:space="0"/>
              <w:bottom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4" w:hRule="atLeast"/>
        </w:trPr>
        <w:tc>
          <w:tcPr>
            <w:tcW w:w="1794" w:type="dxa"/>
            <w:vMerge w:val="continue"/>
            <w:tcBorders>
              <w:right w:val="single" w:color="auto" w:sz="4" w:space="0"/>
            </w:tcBorders>
            <w:vAlign w:val="center"/>
          </w:tcPr>
          <w:p>
            <w:pPr>
              <w:ind w:left="141" w:leftChars="67" w:right="176" w:rightChars="84"/>
              <w:jc w:val="center"/>
              <w:rPr>
                <w:rFonts w:ascii="宋体" w:hAnsi="宋体"/>
                <w:color w:val="000000"/>
                <w:szCs w:val="21"/>
              </w:rPr>
            </w:pPr>
          </w:p>
        </w:tc>
        <w:tc>
          <w:tcPr>
            <w:tcW w:w="1384" w:type="dxa"/>
            <w:vMerge w:val="continue"/>
            <w:tcBorders>
              <w:left w:val="single" w:color="auto" w:sz="4" w:space="0"/>
              <w:bottom w:val="single" w:color="auto" w:sz="4" w:space="0"/>
              <w:right w:val="single" w:color="auto" w:sz="4" w:space="0"/>
            </w:tcBorders>
            <w:vAlign w:val="center"/>
          </w:tcPr>
          <w:p>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中文名称</w:t>
            </w:r>
          </w:p>
        </w:tc>
        <w:tc>
          <w:tcPr>
            <w:tcW w:w="5051" w:type="dxa"/>
            <w:gridSpan w:val="3"/>
            <w:tcBorders>
              <w:top w:val="single" w:color="auto" w:sz="4" w:space="0"/>
              <w:left w:val="single" w:color="auto" w:sz="4" w:space="0"/>
              <w:bottom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510" w:hRule="atLeast"/>
        </w:trPr>
        <w:tc>
          <w:tcPr>
            <w:tcW w:w="1794" w:type="dxa"/>
            <w:tcBorders>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1.3 任务来源</w:t>
            </w:r>
          </w:p>
        </w:tc>
        <w:tc>
          <w:tcPr>
            <w:tcW w:w="1384" w:type="dxa"/>
            <w:tcBorders>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批准立项的文件名称和文件号</w:t>
            </w:r>
          </w:p>
        </w:tc>
        <w:tc>
          <w:tcPr>
            <w:tcW w:w="3260" w:type="dxa"/>
            <w:gridSpan w:val="2"/>
            <w:tcBorders>
              <w:left w:val="single" w:color="auto" w:sz="4" w:space="0"/>
              <w:bottom w:val="single" w:color="auto" w:sz="4" w:space="0"/>
              <w:right w:val="single" w:color="auto" w:sz="4" w:space="0"/>
            </w:tcBorders>
            <w:vAlign w:val="center"/>
          </w:tcPr>
          <w:p>
            <w:pPr>
              <w:rPr>
                <w:rFonts w:hint="default" w:ascii="宋体" w:hAnsi="宋体" w:eastAsia="宋体"/>
                <w:color w:val="000000"/>
                <w:szCs w:val="21"/>
                <w:lang w:val="en-US" w:eastAsia="zh-CN"/>
              </w:rPr>
            </w:pPr>
            <w:r>
              <w:rPr>
                <w:rFonts w:hint="eastAsia" w:ascii="宋体" w:hAnsi="宋体"/>
                <w:color w:val="000000"/>
                <w:szCs w:val="21"/>
                <w:lang w:val="en-US" w:eastAsia="zh-CN"/>
              </w:rPr>
              <w:t>认监委关于下达《检验检测机构监督管理数据规范》等18项认证认可行业标准制修订计划项目的通知 国认监发〔2026〕6号</w:t>
            </w:r>
          </w:p>
        </w:tc>
        <w:tc>
          <w:tcPr>
            <w:tcW w:w="1128" w:type="dxa"/>
            <w:tcBorders>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计划编号</w:t>
            </w:r>
          </w:p>
        </w:tc>
        <w:tc>
          <w:tcPr>
            <w:tcW w:w="1818" w:type="dxa"/>
            <w:tcBorders>
              <w:left w:val="single" w:color="auto" w:sz="4" w:space="0"/>
              <w:bottom w:val="single" w:color="auto" w:sz="4" w:space="0"/>
            </w:tcBorders>
            <w:vAlign w:val="center"/>
          </w:tcPr>
          <w:p>
            <w:pPr>
              <w:jc w:val="center"/>
              <w:rPr>
                <w:rFonts w:hint="default" w:ascii="宋体" w:hAnsi="宋体" w:eastAsia="宋体"/>
                <w:color w:val="000000"/>
                <w:szCs w:val="21"/>
                <w:lang w:val="en-US" w:eastAsia="zh-CN"/>
              </w:rPr>
            </w:pPr>
            <w:r>
              <w:rPr>
                <w:rFonts w:hint="eastAsia" w:ascii="宋体" w:hAnsi="宋体"/>
                <w:color w:val="000000"/>
                <w:szCs w:val="21"/>
                <w:lang w:val="en-US" w:eastAsia="zh-CN"/>
              </w:rPr>
              <w:t>2026RB001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90" w:hRule="atLeast"/>
        </w:trPr>
        <w:tc>
          <w:tcPr>
            <w:tcW w:w="1794" w:type="dxa"/>
            <w:vAlign w:val="center"/>
          </w:tcPr>
          <w:p>
            <w:pPr>
              <w:spacing w:line="360" w:lineRule="exact"/>
              <w:ind w:left="141" w:leftChars="67" w:right="176" w:rightChars="84"/>
              <w:rPr>
                <w:rFonts w:ascii="宋体" w:hAnsi="宋体"/>
                <w:color w:val="000000"/>
                <w:szCs w:val="21"/>
              </w:rPr>
            </w:pPr>
            <w:r>
              <w:rPr>
                <w:rFonts w:hint="eastAsia" w:ascii="宋体" w:hAnsi="宋体"/>
                <w:color w:val="000000"/>
                <w:szCs w:val="21"/>
              </w:rPr>
              <w:t>1.4制（修）订</w:t>
            </w:r>
          </w:p>
        </w:tc>
        <w:tc>
          <w:tcPr>
            <w:tcW w:w="7590" w:type="dxa"/>
            <w:gridSpan w:val="5"/>
            <w:vAlign w:val="center"/>
          </w:tcPr>
          <w:p>
            <w:pPr>
              <w:jc w:val="left"/>
              <w:rPr>
                <w:rFonts w:ascii="宋体" w:hAnsi="宋体"/>
                <w:snapToGrid w:val="0"/>
                <w:color w:val="000000"/>
                <w:kern w:val="0"/>
                <w:szCs w:val="21"/>
              </w:rPr>
            </w:pPr>
            <w:r>
              <w:rPr>
                <w:rFonts w:hint="eastAsia" w:ascii="宋体" w:hAnsi="宋体"/>
                <w:snapToGrid w:val="0"/>
                <w:color w:val="000000"/>
                <w:kern w:val="0"/>
                <w:szCs w:val="21"/>
                <w:lang w:eastAsia="zh-CN"/>
              </w:rPr>
              <w:t>☑</w:t>
            </w:r>
            <w:r>
              <w:rPr>
                <w:rFonts w:hint="eastAsia" w:ascii="宋体" w:hAnsi="宋体"/>
                <w:snapToGrid w:val="0"/>
                <w:color w:val="000000"/>
                <w:kern w:val="0"/>
                <w:szCs w:val="21"/>
              </w:rPr>
              <w:t>制定     □修订</w:t>
            </w:r>
            <w:r>
              <w:rPr>
                <w:rFonts w:hint="eastAsia" w:ascii="宋体" w:hAnsi="宋体"/>
                <w:szCs w:val="21"/>
              </w:rPr>
              <w:t>（被修订标准名称及编号：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5" w:hRule="atLeast"/>
        </w:trPr>
        <w:tc>
          <w:tcPr>
            <w:tcW w:w="1794" w:type="dxa"/>
            <w:vAlign w:val="center"/>
          </w:tcPr>
          <w:p>
            <w:pPr>
              <w:ind w:left="141" w:leftChars="67" w:right="176" w:rightChars="84"/>
              <w:rPr>
                <w:rFonts w:ascii="宋体" w:hAnsi="宋体"/>
                <w:color w:val="000000"/>
                <w:szCs w:val="21"/>
              </w:rPr>
            </w:pPr>
            <w:r>
              <w:rPr>
                <w:rFonts w:ascii="宋体" w:hAnsi="宋体"/>
                <w:color w:val="000000"/>
                <w:szCs w:val="21"/>
              </w:rPr>
              <w:t>1.5 起止时间</w:t>
            </w:r>
          </w:p>
        </w:tc>
        <w:tc>
          <w:tcPr>
            <w:tcW w:w="7590" w:type="dxa"/>
            <w:gridSpan w:val="5"/>
            <w:vAlign w:val="center"/>
          </w:tcPr>
          <w:p>
            <w:pPr>
              <w:jc w:val="center"/>
              <w:rPr>
                <w:rFonts w:ascii="宋体" w:hAnsi="宋体"/>
                <w:color w:val="000000"/>
                <w:szCs w:val="21"/>
              </w:rPr>
            </w:pPr>
            <w:r>
              <w:rPr>
                <w:rFonts w:hint="eastAsia" w:ascii="宋体" w:hAnsi="宋体"/>
                <w:color w:val="000000"/>
                <w:szCs w:val="21"/>
                <w:lang w:val="en-US" w:eastAsia="zh-CN"/>
              </w:rPr>
              <w:t>2026</w:t>
            </w:r>
            <w:r>
              <w:rPr>
                <w:rFonts w:ascii="宋体" w:hAnsi="宋体"/>
                <w:color w:val="000000"/>
                <w:szCs w:val="21"/>
              </w:rPr>
              <w:t>年</w:t>
            </w:r>
            <w:r>
              <w:rPr>
                <w:rFonts w:hint="eastAsia" w:ascii="宋体" w:hAnsi="宋体"/>
                <w:color w:val="000000"/>
                <w:szCs w:val="21"/>
                <w:lang w:val="en-US" w:eastAsia="zh-CN"/>
              </w:rPr>
              <w:t>8</w:t>
            </w:r>
            <w:r>
              <w:rPr>
                <w:rFonts w:ascii="宋体" w:hAnsi="宋体"/>
                <w:color w:val="000000"/>
                <w:szCs w:val="21"/>
              </w:rPr>
              <w:t>月---</w:t>
            </w:r>
            <w:r>
              <w:rPr>
                <w:rFonts w:hint="eastAsia" w:ascii="宋体" w:hAnsi="宋体"/>
                <w:color w:val="000000"/>
                <w:szCs w:val="21"/>
                <w:lang w:val="en-US" w:eastAsia="zh-CN"/>
              </w:rPr>
              <w:t>2027</w:t>
            </w:r>
            <w:r>
              <w:rPr>
                <w:rFonts w:ascii="宋体" w:hAnsi="宋体"/>
                <w:color w:val="000000"/>
                <w:szCs w:val="21"/>
              </w:rPr>
              <w:t>年</w:t>
            </w:r>
            <w:r>
              <w:rPr>
                <w:rFonts w:hint="eastAsia" w:ascii="宋体" w:hAnsi="宋体"/>
                <w:color w:val="000000"/>
                <w:szCs w:val="21"/>
                <w:lang w:val="en-US" w:eastAsia="zh-CN"/>
              </w:rPr>
              <w:t>6</w:t>
            </w:r>
            <w:r>
              <w:rPr>
                <w:rFonts w:ascii="宋体" w:hAnsi="宋体"/>
                <w:color w:val="000000"/>
                <w:szCs w:val="21"/>
              </w:rPr>
              <w:t>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46" w:hRule="atLeast"/>
        </w:trPr>
        <w:tc>
          <w:tcPr>
            <w:tcW w:w="1794" w:type="dxa"/>
            <w:vAlign w:val="center"/>
          </w:tcPr>
          <w:p>
            <w:pPr>
              <w:ind w:left="141" w:leftChars="67" w:right="176" w:rightChars="84"/>
              <w:rPr>
                <w:rFonts w:ascii="宋体" w:hAnsi="宋体"/>
                <w:color w:val="000000"/>
                <w:szCs w:val="21"/>
              </w:rPr>
            </w:pPr>
            <w:r>
              <w:rPr>
                <w:rFonts w:ascii="宋体" w:hAnsi="宋体"/>
                <w:color w:val="000000"/>
                <w:szCs w:val="21"/>
              </w:rPr>
              <w:t xml:space="preserve">1.6 </w:t>
            </w:r>
            <w:r>
              <w:rPr>
                <w:rFonts w:hint="eastAsia" w:ascii="宋体" w:hAnsi="宋体"/>
                <w:color w:val="000000"/>
                <w:szCs w:val="21"/>
                <w:highlight w:val="none"/>
              </w:rPr>
              <w:t>标准起草</w:t>
            </w:r>
            <w:r>
              <w:rPr>
                <w:rFonts w:ascii="宋体" w:hAnsi="宋体"/>
                <w:color w:val="000000"/>
                <w:szCs w:val="21"/>
                <w:highlight w:val="none"/>
              </w:rPr>
              <w:t>单位</w:t>
            </w:r>
          </w:p>
        </w:tc>
        <w:tc>
          <w:tcPr>
            <w:tcW w:w="7590" w:type="dxa"/>
            <w:gridSpan w:val="5"/>
            <w:vAlign w:val="center"/>
          </w:tcPr>
          <w:p>
            <w:pPr>
              <w:jc w:val="both"/>
              <w:rPr>
                <w:rFonts w:hint="default" w:ascii="宋体" w:hAnsi="宋体" w:eastAsia="宋体"/>
                <w:color w:val="000000"/>
                <w:szCs w:val="21"/>
                <w:lang w:val="en-US" w:eastAsia="zh-CN"/>
              </w:rPr>
            </w:pPr>
            <w:r>
              <w:rPr>
                <w:rFonts w:hint="eastAsia" w:ascii="宋体" w:hAnsi="宋体" w:eastAsia="宋体"/>
                <w:color w:val="000000"/>
                <w:szCs w:val="21"/>
                <w:lang w:eastAsia="zh-CN"/>
              </w:rPr>
              <w:t>中国网络安全审查认证和市场监管大数据中心</w:t>
            </w:r>
            <w:r>
              <w:rPr>
                <w:rFonts w:hint="eastAsia" w:ascii="宋体" w:hAnsi="宋体"/>
                <w:color w:val="000000"/>
                <w:szCs w:val="21"/>
                <w:lang w:eastAsia="zh-CN"/>
              </w:rPr>
              <w:t>、</w:t>
            </w:r>
            <w:r>
              <w:rPr>
                <w:rFonts w:hint="eastAsia" w:ascii="宋体" w:hAnsi="宋体"/>
                <w:color w:val="000000"/>
                <w:szCs w:val="21"/>
                <w:lang w:val="en-US" w:eastAsia="zh-CN"/>
              </w:rPr>
              <w:t>中国检验检测学会、中机寰宇（山东）认证检测有限公司、华测检测认证集团股份有限公司、南京朗赢信息技术有限公司</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306" w:hRule="atLeast"/>
        </w:trPr>
        <w:tc>
          <w:tcPr>
            <w:tcW w:w="1794" w:type="dxa"/>
            <w:vAlign w:val="center"/>
          </w:tcPr>
          <w:p>
            <w:pPr>
              <w:ind w:left="141" w:leftChars="67" w:right="176" w:rightChars="84"/>
              <w:rPr>
                <w:rFonts w:ascii="宋体" w:hAnsi="宋体"/>
                <w:color w:val="000000"/>
                <w:szCs w:val="21"/>
              </w:rPr>
            </w:pPr>
            <w:r>
              <w:rPr>
                <w:rFonts w:ascii="宋体" w:hAnsi="宋体"/>
                <w:color w:val="000000"/>
                <w:szCs w:val="21"/>
              </w:rPr>
              <w:t xml:space="preserve">1.7 </w:t>
            </w:r>
            <w:r>
              <w:rPr>
                <w:rFonts w:ascii="宋体" w:hAnsi="宋体"/>
                <w:color w:val="000000"/>
                <w:szCs w:val="21"/>
                <w:highlight w:val="none"/>
              </w:rPr>
              <w:t>起草</w:t>
            </w:r>
            <w:r>
              <w:rPr>
                <w:rFonts w:hint="eastAsia" w:ascii="宋体" w:hAnsi="宋体"/>
                <w:color w:val="000000"/>
                <w:szCs w:val="21"/>
                <w:highlight w:val="none"/>
              </w:rPr>
              <w:t>组成员</w:t>
            </w:r>
          </w:p>
        </w:tc>
        <w:tc>
          <w:tcPr>
            <w:tcW w:w="7590" w:type="dxa"/>
            <w:gridSpan w:val="5"/>
            <w:vAlign w:val="center"/>
          </w:tcPr>
          <w:p>
            <w:pPr>
              <w:jc w:val="both"/>
              <w:rPr>
                <w:rFonts w:hint="eastAsia" w:ascii="宋体" w:hAnsi="宋体" w:eastAsia="宋体"/>
                <w:color w:val="000000"/>
                <w:szCs w:val="21"/>
                <w:lang w:val="en-US" w:eastAsia="zh-CN"/>
              </w:rPr>
            </w:pPr>
            <w:r>
              <w:rPr>
                <w:rFonts w:hint="default" w:ascii="宋体" w:hAnsi="宋体" w:eastAsia="宋体"/>
                <w:color w:val="000000"/>
                <w:szCs w:val="21"/>
                <w:lang w:val="en-US" w:eastAsia="zh-CN"/>
              </w:rPr>
              <w:t>张冀川、兰鹏、谭敏清、贺鹏艳、许双龙、蔡婷婷、杨克军、胡伟建、刘昕、张爱月</w:t>
            </w:r>
            <w:r>
              <w:rPr>
                <w:rFonts w:hint="eastAsia" w:ascii="宋体" w:hAnsi="宋体"/>
                <w:color w:val="000000"/>
                <w:szCs w:val="21"/>
                <w:lang w:val="en-US" w:eastAsia="zh-CN"/>
              </w:rPr>
              <w:t>、王永泉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1379" w:hRule="exact"/>
        </w:trPr>
        <w:tc>
          <w:tcPr>
            <w:tcW w:w="1794" w:type="dxa"/>
            <w:tcBorders>
              <w:bottom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highlight w:val="none"/>
              </w:rPr>
              <w:t>1.</w:t>
            </w:r>
            <w:r>
              <w:rPr>
                <w:rFonts w:hint="eastAsia" w:ascii="宋体" w:hAnsi="宋体"/>
                <w:color w:val="000000"/>
                <w:szCs w:val="21"/>
                <w:highlight w:val="none"/>
              </w:rPr>
              <w:t>8标准体系表内编号</w:t>
            </w:r>
          </w:p>
        </w:tc>
        <w:tc>
          <w:tcPr>
            <w:tcW w:w="7590" w:type="dxa"/>
            <w:gridSpan w:val="5"/>
            <w:tcBorders>
              <w:bottom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70" w:hRule="exac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9</w:t>
            </w:r>
            <w:r>
              <w:rPr>
                <w:rFonts w:ascii="宋体" w:hAnsi="宋体"/>
                <w:color w:val="000000"/>
                <w:szCs w:val="21"/>
              </w:rPr>
              <w:t>调整情况</w:t>
            </w:r>
          </w:p>
        </w:tc>
        <w:tc>
          <w:tcPr>
            <w:tcW w:w="7590" w:type="dxa"/>
            <w:gridSpan w:val="5"/>
            <w:tcBorders>
              <w:top w:val="single" w:color="auto" w:sz="4" w:space="0"/>
              <w:left w:val="single" w:color="auto" w:sz="4" w:space="0"/>
              <w:bottom w:val="single" w:color="auto" w:sz="4" w:space="0"/>
              <w:right w:val="single" w:color="auto" w:sz="4" w:space="0"/>
            </w:tcBorders>
            <w:vAlign w:val="center"/>
          </w:tcPr>
          <w:p>
            <w:pPr>
              <w:rPr>
                <w:rFonts w:hint="default" w:ascii="宋体" w:hAnsi="宋体" w:eastAsia="宋体"/>
                <w:color w:val="000000"/>
                <w:szCs w:val="21"/>
                <w:lang w:val="en-US" w:eastAsia="zh-CN"/>
              </w:rPr>
            </w:pPr>
            <w:r>
              <w:rPr>
                <w:rFonts w:hint="eastAsia" w:ascii="宋体" w:hAnsi="宋体"/>
                <w:color w:val="000000"/>
                <w:szCs w:val="21"/>
                <w:lang w:val="en-US" w:eastAsia="zh-CN"/>
              </w:rPr>
              <w:t>无</w:t>
            </w:r>
          </w:p>
        </w:tc>
      </w:tr>
    </w:tbl>
    <w:p>
      <w:pPr>
        <w:rPr>
          <w:rFonts w:eastAsia="仿宋_GB2312"/>
          <w:b/>
          <w:color w:val="000000"/>
          <w:kern w:val="0"/>
          <w:sz w:val="32"/>
        </w:rPr>
      </w:pP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759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485" w:hRule="exact"/>
        </w:trPr>
        <w:tc>
          <w:tcPr>
            <w:tcW w:w="9384" w:type="dxa"/>
            <w:gridSpan w:val="2"/>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2、背景情况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6437" w:hRule="atLeast"/>
        </w:trPr>
        <w:tc>
          <w:tcPr>
            <w:tcW w:w="1794" w:type="dxa"/>
            <w:tcBorders>
              <w:top w:val="single" w:color="auto" w:sz="4" w:space="0"/>
              <w:left w:val="single" w:color="auto" w:sz="4" w:space="0"/>
              <w:right w:val="single" w:color="auto" w:sz="4" w:space="0"/>
            </w:tcBorders>
            <w:vAlign w:val="center"/>
          </w:tcPr>
          <w:p>
            <w:pPr>
              <w:ind w:left="141" w:leftChars="67" w:right="36" w:rightChars="17"/>
              <w:rPr>
                <w:rFonts w:ascii="宋体" w:hAnsi="宋体"/>
                <w:color w:val="000000"/>
                <w:szCs w:val="21"/>
              </w:rPr>
            </w:pPr>
            <w:r>
              <w:rPr>
                <w:rFonts w:ascii="宋体" w:hAnsi="宋体"/>
                <w:color w:val="000000"/>
                <w:szCs w:val="21"/>
              </w:rPr>
              <w:t>2.1 目的、意义</w:t>
            </w:r>
          </w:p>
          <w:p>
            <w:pPr>
              <w:ind w:left="141" w:leftChars="67" w:right="36" w:rightChars="17"/>
              <w:rPr>
                <w:rFonts w:ascii="宋体" w:hAnsi="宋体"/>
                <w:color w:val="000000"/>
                <w:szCs w:val="21"/>
              </w:rPr>
            </w:pPr>
            <w:r>
              <w:rPr>
                <w:rFonts w:hint="eastAsia" w:ascii="宋体" w:hAnsi="宋体"/>
                <w:color w:val="000000"/>
                <w:szCs w:val="21"/>
              </w:rPr>
              <w:t>（工作开展背景及要求）</w:t>
            </w:r>
          </w:p>
        </w:tc>
        <w:tc>
          <w:tcPr>
            <w:tcW w:w="7590" w:type="dxa"/>
            <w:tcBorders>
              <w:top w:val="single" w:color="auto" w:sz="4" w:space="0"/>
              <w:left w:val="single" w:color="auto" w:sz="4" w:space="0"/>
              <w:right w:val="single" w:color="auto" w:sz="4" w:space="0"/>
            </w:tcBorders>
            <w:vAlign w:val="center"/>
          </w:tcPr>
          <w:p>
            <w:pPr>
              <w:pStyle w:val="130"/>
              <w:spacing w:beforeLines="0" w:afterLines="0"/>
              <w:ind w:firstLine="420" w:firstLineChars="200"/>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资质认定作为市场监管部门规范检验检测机构准入、保障检测数据权威可靠的核心制度，面临数字化转型与协同监管的双重挑战。长期以来，资质认定工作涉及机构信息、证书、场所、仪器设备、检测能力、授权签字人、评审员、质检中心、能力项目库等多类数据，在采集、存储、交换与应用中存在标准不统一、口径不一致、格式不规范、共享不顺畅等突出问题，难以满足跨部门、跨层级、跨区域业务协同需求。同时，随着智慧监管全面推进以及全国一体化政务数据共享要求不断提高，现有数据管理模式已无法支撑风险预警、信用监管、统计分析与科学决策，亟需制定统一、权威、可落地的资质认定数据标准。</w:t>
            </w:r>
          </w:p>
          <w:p>
            <w:pPr>
              <w:pStyle w:val="130"/>
              <w:spacing w:beforeLines="0" w:afterLines="0"/>
              <w:ind w:firstLine="420" w:firstLineChars="200"/>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lang w:eastAsia="zh-CN"/>
              </w:rPr>
              <w:t>本标准立项旨在填补检验检测机构资质认定领域数据规范空白，建立覆盖资质认定全流程、全要素的数据标准体系。规范将明确机构概况、证书管理、场所设备、能力范围、人员信息、评审管理、质检中心管理等核心数据要求，为监管部门、检验检测机构、专业技术评价机构提供统一遵循，提升数据质量与治理能力，降低系统开发与对接成本。</w:t>
            </w:r>
          </w:p>
          <w:p>
            <w:pPr>
              <w:pStyle w:val="130"/>
              <w:spacing w:beforeLines="0" w:afterLines="0"/>
              <w:ind w:firstLine="420" w:firstLineChars="200"/>
              <w:rPr>
                <w:rFonts w:ascii="宋体" w:hAnsi="宋体"/>
                <w:color w:val="000000"/>
                <w:szCs w:val="21"/>
              </w:rPr>
            </w:pPr>
            <w:r>
              <w:rPr>
                <w:rFonts w:hint="eastAsia" w:ascii="宋体" w:hAnsi="宋体" w:cs="Times New Roman"/>
                <w:color w:val="auto"/>
                <w:sz w:val="21"/>
                <w:szCs w:val="21"/>
                <w:highlight w:val="none"/>
                <w:lang w:val="en-US" w:eastAsia="zh-CN"/>
              </w:rPr>
              <w:t>本标准的制定与实施具有重要现实意义。在监管层面，有利于推动资质认定全生命周期数字化管理，提升行政服务与风险防控水平，实现精准监管、协同监管与高效监管。在机构层面，将统一填报要求，切实减轻机构合规负担，助力提升机构规范化管理水平。在行业层面，能够促进检验检测数据共享共用，推动检测资源优化配置，提升行业整体运行效率与公信力。在国家层面，标准契合质量强国、数字政府建设部署要求，夯实市场监管数据底座，为保障检验检测结果公正可靠、维护市场秩序、推动高质量发展提供坚实的数据标准支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4252" w:hRule="exac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36" w:rightChars="17"/>
              <w:rPr>
                <w:rFonts w:ascii="宋体" w:hAnsi="宋体"/>
                <w:color w:val="000000"/>
                <w:szCs w:val="21"/>
              </w:rPr>
            </w:pPr>
            <w:r>
              <w:rPr>
                <w:rFonts w:ascii="宋体" w:hAnsi="宋体"/>
                <w:color w:val="000000"/>
                <w:szCs w:val="21"/>
              </w:rPr>
              <w:t>2.2 与国内外相关标准、文献的关系</w:t>
            </w:r>
          </w:p>
        </w:tc>
        <w:tc>
          <w:tcPr>
            <w:tcW w:w="7590" w:type="dxa"/>
            <w:tcBorders>
              <w:top w:val="single" w:color="auto" w:sz="4" w:space="0"/>
              <w:left w:val="single" w:color="auto" w:sz="4" w:space="0"/>
              <w:bottom w:val="single" w:color="auto" w:sz="4" w:space="0"/>
              <w:right w:val="single" w:color="auto" w:sz="4" w:space="0"/>
            </w:tcBorders>
            <w:vAlign w:val="center"/>
          </w:tcPr>
          <w:p>
            <w:pPr>
              <w:pStyle w:val="130"/>
              <w:spacing w:beforeLines="0" w:afterLines="0"/>
              <w:ind w:firstLine="420" w:firstLineChars="200"/>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下列文件中的内容通过文中的规范性引用而构成本文件必不可少的条款：</w:t>
            </w:r>
          </w:p>
          <w:p>
            <w:pPr>
              <w:pStyle w:val="130"/>
              <w:spacing w:beforeLines="0" w:afterLines="0"/>
              <w:ind w:firstLine="420" w:firstLineChars="200"/>
              <w:rPr>
                <w:rFonts w:hint="default" w:ascii="宋体" w:hAnsi="宋体"/>
                <w:color w:val="auto"/>
                <w:sz w:val="21"/>
                <w:szCs w:val="21"/>
                <w:highlight w:val="none"/>
                <w:lang w:val="en-US" w:eastAsia="zh-CN"/>
              </w:rPr>
            </w:pPr>
            <w:r>
              <w:rPr>
                <w:rFonts w:hint="eastAsia" w:ascii="宋体" w:hAnsi="宋体"/>
                <w:color w:val="auto"/>
                <w:sz w:val="21"/>
                <w:szCs w:val="21"/>
                <w:highlight w:val="none"/>
                <w:lang w:eastAsia="zh-CN"/>
              </w:rPr>
              <w:t>GB/T 1.1-2020</w:t>
            </w:r>
            <w:r>
              <w:rPr>
                <w:rFonts w:hint="eastAsia"/>
                <w:color w:val="auto"/>
                <w:sz w:val="21"/>
                <w:szCs w:val="21"/>
                <w:highlight w:val="none"/>
                <w:lang w:val="en-US" w:eastAsia="zh-CN"/>
              </w:rPr>
              <w:t xml:space="preserve"> 标准化工作导则 第1部分：标准化文件的结构和起草规则</w:t>
            </w:r>
          </w:p>
          <w:p>
            <w:pPr>
              <w:pStyle w:val="130"/>
              <w:spacing w:beforeLines="0" w:afterLines="0"/>
              <w:ind w:firstLine="420" w:firstLineChars="200"/>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GB/T 31880-2015 检验检测机构诚信基本要求</w:t>
            </w:r>
          </w:p>
          <w:p>
            <w:pPr>
              <w:pStyle w:val="130"/>
              <w:spacing w:beforeLines="0" w:afterLines="0"/>
              <w:ind w:firstLine="420" w:firstLineChars="200"/>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GB/T 19488.1-2004 电子政务数据元 第1部分：设计和管理规范</w:t>
            </w:r>
          </w:p>
          <w:p>
            <w:pPr>
              <w:ind w:firstLine="420" w:firstLineChars="200"/>
              <w:rPr>
                <w:rFonts w:ascii="宋体" w:hAnsi="宋体"/>
                <w:color w:val="000000"/>
                <w:szCs w:val="21"/>
              </w:rPr>
            </w:pPr>
            <w:r>
              <w:rPr>
                <w:rFonts w:hint="eastAsia" w:ascii="宋体" w:hAnsi="宋体"/>
                <w:color w:val="auto"/>
                <w:sz w:val="21"/>
                <w:szCs w:val="21"/>
                <w:highlight w:val="none"/>
                <w:lang w:eastAsia="zh-CN"/>
              </w:rPr>
              <w:t>GB/T 2260  中华人民共和国行政区划代码</w:t>
            </w:r>
          </w:p>
        </w:tc>
      </w:tr>
    </w:tbl>
    <w:p>
      <w:pPr>
        <w:rPr>
          <w:rFonts w:eastAsia="仿宋_GB2312"/>
          <w:b/>
          <w:color w:val="000000"/>
          <w:kern w:val="0"/>
          <w:sz w:val="32"/>
        </w:rPr>
      </w:pPr>
    </w:p>
    <w:tbl>
      <w:tblPr>
        <w:tblStyle w:val="38"/>
        <w:tblpPr w:leftFromText="180" w:rightFromText="180" w:vertAnchor="text" w:horzAnchor="margin" w:tblpXSpec="center" w:tblpY="169"/>
        <w:tblW w:w="94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970"/>
        <w:gridCol w:w="745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02" w:hRule="exact"/>
        </w:trPr>
        <w:tc>
          <w:tcPr>
            <w:tcW w:w="9428" w:type="dxa"/>
            <w:gridSpan w:val="2"/>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3  编制过程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1551" w:hRule="atLeast"/>
        </w:trPr>
        <w:tc>
          <w:tcPr>
            <w:tcW w:w="1970" w:type="dxa"/>
            <w:tcBorders>
              <w:top w:val="single" w:color="auto" w:sz="4" w:space="0"/>
              <w:bottom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1</w:t>
            </w:r>
            <w:r>
              <w:rPr>
                <w:rFonts w:ascii="宋体" w:hAnsi="宋体"/>
                <w:color w:val="000000"/>
                <w:szCs w:val="21"/>
              </w:rPr>
              <w:t xml:space="preserve"> </w:t>
            </w:r>
            <w:r>
              <w:rPr>
                <w:rFonts w:ascii="宋体" w:hAnsi="宋体"/>
                <w:color w:val="000000"/>
                <w:szCs w:val="21"/>
                <w:highlight w:val="none"/>
              </w:rPr>
              <w:t>分工情况</w:t>
            </w:r>
          </w:p>
        </w:tc>
        <w:tc>
          <w:tcPr>
            <w:tcW w:w="7458" w:type="dxa"/>
            <w:tcBorders>
              <w:bottom w:val="single" w:color="auto" w:sz="4" w:space="0"/>
            </w:tcBorders>
            <w:vAlign w:val="center"/>
          </w:tcPr>
          <w:p>
            <w:pPr>
              <w:rPr>
                <w:rFonts w:hint="eastAsia"/>
                <w:lang w:val="en-US" w:eastAsia="zh-CN"/>
              </w:rPr>
            </w:pPr>
            <w:r>
              <w:rPr>
                <w:rFonts w:hint="eastAsia"/>
                <w:lang w:val="en-US" w:eastAsia="zh-CN"/>
              </w:rPr>
              <w:t>标准的整体架构由起草小组共同确定；</w:t>
            </w:r>
          </w:p>
          <w:p>
            <w:pPr>
              <w:rPr>
                <w:rFonts w:hint="default"/>
                <w:lang w:val="en-US" w:eastAsia="zh-CN"/>
              </w:rPr>
            </w:pPr>
            <w:r>
              <w:rPr>
                <w:rFonts w:hint="default" w:ascii="宋体" w:hAnsi="宋体" w:eastAsia="宋体"/>
                <w:color w:val="000000"/>
                <w:szCs w:val="21"/>
                <w:lang w:val="en-US" w:eastAsia="zh-CN"/>
              </w:rPr>
              <w:t>张冀川、兰鹏、谭敏清</w:t>
            </w:r>
            <w:r>
              <w:rPr>
                <w:rFonts w:hint="eastAsia"/>
                <w:lang w:val="en-US" w:eastAsia="zh-CN"/>
              </w:rPr>
              <w:t>负责政策、相关法律法规的收集和标准的起草工作；</w:t>
            </w:r>
            <w:r>
              <w:rPr>
                <w:rFonts w:hint="default" w:ascii="宋体" w:hAnsi="宋体" w:eastAsia="宋体"/>
                <w:color w:val="000000"/>
                <w:szCs w:val="21"/>
                <w:lang w:val="en-US" w:eastAsia="zh-CN"/>
              </w:rPr>
              <w:t>贺鹏艳、许双龙、蔡婷婷、杨克军、胡伟建、刘昕、张爱月</w:t>
            </w:r>
            <w:r>
              <w:rPr>
                <w:rFonts w:hint="eastAsia" w:ascii="宋体" w:hAnsi="宋体"/>
                <w:color w:val="000000"/>
                <w:szCs w:val="21"/>
                <w:lang w:val="en-US" w:eastAsia="zh-CN"/>
              </w:rPr>
              <w:t>、王永泉</w:t>
            </w:r>
            <w:r>
              <w:rPr>
                <w:rFonts w:hint="eastAsia"/>
              </w:rPr>
              <w:t>负责协助在各自的研究领域收集相关文献资料、参与标准的修改，完善。</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11" w:hRule="atLeast"/>
        </w:trPr>
        <w:tc>
          <w:tcPr>
            <w:tcW w:w="1970" w:type="dxa"/>
            <w:tcBorders>
              <w:top w:val="single" w:color="auto" w:sz="4" w:space="0"/>
              <w:bottom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2起草阶段</w:t>
            </w:r>
          </w:p>
        </w:tc>
        <w:tc>
          <w:tcPr>
            <w:tcW w:w="7458" w:type="dxa"/>
            <w:tcBorders>
              <w:bottom w:val="single" w:color="auto" w:sz="4" w:space="0"/>
            </w:tcBorders>
            <w:vAlign w:val="center"/>
          </w:tcPr>
          <w:p>
            <w:pPr>
              <w:rPr>
                <w:rFonts w:hint="eastAsia" w:cs="Times New Roman"/>
                <w:kern w:val="0"/>
                <w:szCs w:val="21"/>
                <w:lang w:val="en-US" w:bidi="zh-CN"/>
              </w:rPr>
            </w:pPr>
            <w:r>
              <w:rPr>
                <w:rFonts w:hint="eastAsia" w:ascii="宋体" w:hAnsi="宋体"/>
                <w:color w:val="000000"/>
                <w:szCs w:val="21"/>
                <w:lang w:val="en-US" w:eastAsia="zh-CN"/>
              </w:rPr>
              <w:t>2026年8月，项目立项，召开项目启动会，</w:t>
            </w:r>
            <w:r>
              <w:rPr>
                <w:rFonts w:hint="eastAsia" w:ascii="Times New Roman" w:hAnsi="Times New Roman" w:eastAsia="宋体" w:cs="Times New Roman"/>
                <w:kern w:val="0"/>
                <w:szCs w:val="21"/>
                <w:lang w:val="zh-CN" w:bidi="zh-CN"/>
              </w:rPr>
              <w:t>组建工作</w:t>
            </w:r>
            <w:r>
              <w:rPr>
                <w:rFonts w:hint="eastAsia" w:cs="Times New Roman"/>
                <w:kern w:val="0"/>
                <w:szCs w:val="21"/>
                <w:lang w:val="en-US" w:bidi="zh-CN"/>
              </w:rPr>
              <w:t>组；</w:t>
            </w:r>
          </w:p>
          <w:p>
            <w:pPr>
              <w:rPr>
                <w:rFonts w:hint="eastAsia" w:ascii="宋体" w:hAnsi="宋体"/>
                <w:color w:val="000000"/>
                <w:szCs w:val="21"/>
                <w:lang w:val="en-US" w:eastAsia="zh-CN"/>
              </w:rPr>
            </w:pPr>
            <w:r>
              <w:rPr>
                <w:rFonts w:hint="eastAsia" w:ascii="宋体" w:hAnsi="宋体"/>
                <w:color w:val="000000"/>
                <w:szCs w:val="21"/>
                <w:lang w:val="en-US" w:eastAsia="zh-CN"/>
              </w:rPr>
              <w:t>2026年9月，起草小组开展了调研和资料收集等基础工作；</w:t>
            </w:r>
          </w:p>
          <w:p>
            <w:pPr>
              <w:rPr>
                <w:rFonts w:hint="eastAsia" w:ascii="宋体" w:hAnsi="宋体"/>
                <w:color w:val="000000"/>
                <w:szCs w:val="21"/>
                <w:lang w:val="en-US" w:eastAsia="zh-CN"/>
              </w:rPr>
            </w:pPr>
            <w:r>
              <w:rPr>
                <w:rFonts w:hint="eastAsia" w:ascii="宋体" w:hAnsi="宋体"/>
                <w:color w:val="000000"/>
                <w:szCs w:val="21"/>
                <w:lang w:val="en-US" w:eastAsia="zh-CN"/>
              </w:rPr>
              <w:t>2026年10月，工作组按照分工，依照《标准化工作导则 第一部分：标准的结构和编写》（GB/T 1.1-2020）的要求，进行了标准草案编写工作。</w:t>
            </w:r>
          </w:p>
          <w:p>
            <w:pPr>
              <w:rPr>
                <w:rFonts w:hint="default" w:ascii="宋体" w:hAnsi="宋体"/>
                <w:color w:val="000000"/>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1526" w:hRule="atLeast"/>
        </w:trPr>
        <w:tc>
          <w:tcPr>
            <w:tcW w:w="1970" w:type="dxa"/>
            <w:tcBorders>
              <w:top w:val="single" w:color="auto" w:sz="4" w:space="0"/>
              <w:bottom w:val="single" w:color="auto" w:sz="6"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3征求意见阶段</w:t>
            </w:r>
          </w:p>
        </w:tc>
        <w:tc>
          <w:tcPr>
            <w:tcW w:w="7458" w:type="dxa"/>
            <w:tcBorders>
              <w:top w:val="single" w:color="auto" w:sz="4" w:space="0"/>
              <w:bottom w:val="single" w:color="auto" w:sz="6" w:space="0"/>
            </w:tcBorders>
            <w:vAlign w:val="center"/>
          </w:tcPr>
          <w:p>
            <w:pPr>
              <w:rPr>
                <w:rFonts w:hint="default" w:ascii="宋体" w:hAnsi="宋体" w:eastAsia="宋体"/>
                <w:color w:val="000000"/>
                <w:szCs w:val="21"/>
                <w:lang w:val="en-US" w:eastAsia="zh-CN"/>
              </w:rPr>
            </w:pPr>
            <w:r>
              <w:rPr>
                <w:rFonts w:hint="eastAsia" w:ascii="宋体" w:hAnsi="宋体"/>
                <w:color w:val="000000"/>
                <w:szCs w:val="21"/>
                <w:lang w:val="en-US" w:eastAsia="zh-CN"/>
              </w:rPr>
              <w:t>2026年10月底，线上线下征求相关单位、人员意见，形成汇总意见表，邀请专家召开评审会，形成送审稿、专家意见汇总表。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14" w:hRule="atLeast"/>
        </w:trPr>
        <w:tc>
          <w:tcPr>
            <w:tcW w:w="1970" w:type="dxa"/>
            <w:tcBorders>
              <w:top w:val="single" w:color="auto" w:sz="6" w:space="0"/>
              <w:bottom w:val="single" w:color="auto" w:sz="6" w:space="0"/>
            </w:tcBorders>
            <w:vAlign w:val="center"/>
          </w:tcPr>
          <w:p>
            <w:pPr>
              <w:ind w:left="141" w:leftChars="67" w:right="176" w:rightChars="84"/>
              <w:rPr>
                <w:rFonts w:ascii="宋体" w:hAnsi="宋体"/>
                <w:color w:val="000000"/>
                <w:szCs w:val="21"/>
              </w:rPr>
            </w:pPr>
            <w:r>
              <w:rPr>
                <w:rFonts w:ascii="宋体" w:hAnsi="宋体"/>
                <w:color w:val="000000"/>
                <w:szCs w:val="21"/>
                <w:highlight w:val="none"/>
              </w:rPr>
              <w:t>3.</w:t>
            </w:r>
            <w:r>
              <w:rPr>
                <w:rFonts w:hint="eastAsia" w:ascii="宋体" w:hAnsi="宋体"/>
                <w:color w:val="000000"/>
                <w:szCs w:val="21"/>
                <w:highlight w:val="none"/>
              </w:rPr>
              <w:t>4标准预审查阶段</w:t>
            </w:r>
          </w:p>
        </w:tc>
        <w:tc>
          <w:tcPr>
            <w:tcW w:w="7458" w:type="dxa"/>
            <w:tcBorders>
              <w:top w:val="single" w:color="auto" w:sz="6" w:space="0"/>
              <w:bottom w:val="single" w:color="auto" w:sz="6" w:space="0"/>
            </w:tcBorders>
            <w:vAlign w:val="center"/>
          </w:tcPr>
          <w:p>
            <w:pPr>
              <w:jc w:val="left"/>
              <w:rPr>
                <w:rFonts w:hint="eastAsia" w:ascii="宋体" w:hAnsi="宋体" w:eastAsia="宋体"/>
                <w:color w:val="000000"/>
                <w:szCs w:val="21"/>
                <w:lang w:val="en-US" w:eastAsia="zh-CN"/>
              </w:rPr>
            </w:pPr>
            <w:r>
              <w:rPr>
                <w:rFonts w:hint="eastAsia" w:ascii="宋体" w:hAnsi="宋体"/>
                <w:color w:val="000000"/>
                <w:szCs w:val="21"/>
                <w:lang w:val="en-US" w:eastAsia="zh-CN"/>
              </w:rPr>
              <w:t>未启动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1439" w:hRule="atLeast"/>
        </w:trPr>
        <w:tc>
          <w:tcPr>
            <w:tcW w:w="1970" w:type="dxa"/>
            <w:tcBorders>
              <w:top w:val="single" w:color="auto" w:sz="6" w:space="0"/>
              <w:bottom w:val="single" w:color="auto" w:sz="6" w:space="0"/>
            </w:tcBorders>
            <w:vAlign w:val="center"/>
          </w:tcPr>
          <w:p>
            <w:pPr>
              <w:ind w:left="141" w:leftChars="67" w:right="176" w:rightChars="84"/>
              <w:rPr>
                <w:rFonts w:ascii="宋体" w:hAnsi="宋体"/>
                <w:color w:val="000000"/>
                <w:szCs w:val="21"/>
              </w:rPr>
            </w:pPr>
            <w:r>
              <w:rPr>
                <w:rFonts w:hint="eastAsia" w:ascii="宋体" w:hAnsi="宋体"/>
                <w:color w:val="000000"/>
                <w:szCs w:val="21"/>
              </w:rPr>
              <w:t>3</w:t>
            </w:r>
            <w:r>
              <w:rPr>
                <w:rFonts w:hint="eastAsia" w:ascii="宋体" w:hAnsi="宋体"/>
                <w:color w:val="000000"/>
                <w:szCs w:val="21"/>
                <w:highlight w:val="none"/>
              </w:rPr>
              <w:t>.5标准审查阶段</w:t>
            </w:r>
          </w:p>
        </w:tc>
        <w:tc>
          <w:tcPr>
            <w:tcW w:w="7458" w:type="dxa"/>
            <w:tcBorders>
              <w:top w:val="single" w:color="auto" w:sz="6" w:space="0"/>
              <w:bottom w:val="single" w:color="auto" w:sz="6" w:space="0"/>
            </w:tcBorders>
            <w:vAlign w:val="center"/>
          </w:tcPr>
          <w:p>
            <w:pPr>
              <w:jc w:val="left"/>
              <w:rPr>
                <w:rFonts w:hint="default" w:ascii="宋体" w:hAnsi="宋体" w:eastAsia="宋体"/>
                <w:color w:val="000000"/>
                <w:szCs w:val="21"/>
                <w:lang w:val="en-US" w:eastAsia="zh-CN"/>
              </w:rPr>
            </w:pPr>
            <w:r>
              <w:rPr>
                <w:rFonts w:hint="eastAsia" w:ascii="宋体" w:hAnsi="宋体"/>
                <w:color w:val="000000"/>
                <w:szCs w:val="21"/>
                <w:lang w:val="en-US" w:eastAsia="zh-CN"/>
              </w:rPr>
              <w:t>未启动</w:t>
            </w:r>
          </w:p>
        </w:tc>
      </w:tr>
    </w:tbl>
    <w:p>
      <w:pPr>
        <w:rPr>
          <w:rFonts w:eastAsia="仿宋_GB2312"/>
          <w:b/>
          <w:color w:val="000000"/>
          <w:kern w:val="0"/>
          <w:sz w:val="32"/>
        </w:rPr>
      </w:pPr>
      <w:r>
        <w:rPr>
          <w:rFonts w:eastAsia="仿宋_GB2312"/>
          <w:b/>
          <w:color w:val="000000"/>
          <w:kern w:val="0"/>
          <w:sz w:val="32"/>
        </w:rPr>
        <w:br w:type="page"/>
      </w: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62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53" w:hRule="atLeast"/>
        </w:trPr>
        <w:tc>
          <w:tcPr>
            <w:tcW w:w="9625" w:type="dxa"/>
            <w:tcBorders>
              <w:top w:val="nil"/>
              <w:left w:val="nil"/>
              <w:bottom w:val="single" w:color="auto" w:sz="4" w:space="0"/>
              <w:right w:val="nil"/>
            </w:tcBorders>
            <w:vAlign w:val="center"/>
          </w:tcPr>
          <w:p>
            <w:pPr>
              <w:rPr>
                <w:rFonts w:ascii="宋体" w:hAnsi="宋体"/>
                <w:b/>
                <w:color w:val="000000"/>
                <w:szCs w:val="21"/>
              </w:rPr>
            </w:pPr>
            <w:r>
              <w:rPr>
                <w:rFonts w:hint="eastAsia" w:ascii="宋体" w:hAnsi="宋体"/>
                <w:b/>
                <w:color w:val="000000"/>
                <w:szCs w:val="21"/>
              </w:rPr>
              <w:t>4  主要技术内容的确定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12691" w:hRule="atLeast"/>
        </w:trPr>
        <w:tc>
          <w:tcPr>
            <w:tcW w:w="9625"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olor w:val="000000"/>
                <w:szCs w:val="21"/>
              </w:rPr>
            </w:pPr>
            <w:r>
              <w:rPr>
                <w:rFonts w:hint="eastAsia" w:ascii="宋体" w:hAnsi="宋体"/>
                <w:color w:val="000000"/>
                <w:szCs w:val="21"/>
              </w:rPr>
              <w:t>本标准分为10部分，主要内容如下：</w:t>
            </w:r>
          </w:p>
          <w:p>
            <w:pPr>
              <w:rPr>
                <w:rFonts w:hint="eastAsia" w:ascii="黑体" w:hAnsi="黑体" w:eastAsia="黑体" w:cs="黑体"/>
                <w:color w:val="000000"/>
                <w:szCs w:val="21"/>
              </w:rPr>
            </w:pPr>
            <w:r>
              <w:rPr>
                <w:rFonts w:hint="eastAsia" w:ascii="黑体" w:hAnsi="黑体" w:eastAsia="黑体" w:cs="黑体"/>
                <w:color w:val="000000"/>
                <w:szCs w:val="21"/>
              </w:rPr>
              <w:t>1.范围</w:t>
            </w:r>
          </w:p>
          <w:p>
            <w:pPr>
              <w:rPr>
                <w:rFonts w:hint="eastAsia" w:ascii="宋体" w:hAnsi="宋体"/>
                <w:color w:val="000000"/>
                <w:szCs w:val="21"/>
              </w:rPr>
            </w:pPr>
            <w:r>
              <w:rPr>
                <w:rFonts w:hint="eastAsia" w:ascii="宋体" w:hAnsi="宋体"/>
                <w:color w:val="000000"/>
                <w:szCs w:val="21"/>
              </w:rPr>
              <w:t>介绍本标准规定的主要内容（检验检测机构资质认定数据组成、数据项表示方法及规则、检验检测机构资质认定管理数据、质检中心管理数据、资质认定评审员管理数据的相关要求），以及本标准适用的领域（相关行业主管部门、检验检测机构以及相关组织对数据的组织管理及应用）。</w:t>
            </w:r>
          </w:p>
          <w:p>
            <w:pPr>
              <w:rPr>
                <w:rFonts w:hint="eastAsia" w:ascii="黑体" w:hAnsi="黑体" w:eastAsia="黑体" w:cs="黑体"/>
                <w:color w:val="000000"/>
                <w:szCs w:val="21"/>
              </w:rPr>
            </w:pPr>
            <w:r>
              <w:rPr>
                <w:rFonts w:hint="eastAsia" w:ascii="黑体" w:hAnsi="黑体" w:eastAsia="黑体" w:cs="黑体"/>
                <w:color w:val="000000"/>
                <w:szCs w:val="21"/>
              </w:rPr>
              <w:t>2.规范性引用文件</w:t>
            </w:r>
          </w:p>
          <w:p>
            <w:pPr>
              <w:rPr>
                <w:rFonts w:hint="eastAsia" w:ascii="宋体" w:hAnsi="宋体"/>
                <w:color w:val="000000"/>
                <w:szCs w:val="21"/>
              </w:rPr>
            </w:pPr>
            <w:r>
              <w:rPr>
                <w:rFonts w:hint="eastAsia" w:ascii="宋体" w:hAnsi="宋体"/>
                <w:color w:val="000000"/>
                <w:szCs w:val="21"/>
              </w:rPr>
              <w:t>列出了本标准引用的GB/T 2260《中华人民共和国行政区划代码》、GB/T 19488.1—2004</w:t>
            </w:r>
            <w:r>
              <w:rPr>
                <w:rFonts w:hint="eastAsia" w:ascii="宋体" w:hAnsi="宋体"/>
                <w:color w:val="000000"/>
                <w:szCs w:val="21"/>
                <w:lang w:val="en-US" w:eastAsia="zh-CN"/>
              </w:rPr>
              <w:t xml:space="preserve"> </w:t>
            </w:r>
            <w:r>
              <w:rPr>
                <w:rFonts w:hint="eastAsia" w:ascii="宋体" w:hAnsi="宋体"/>
                <w:color w:val="000000"/>
                <w:szCs w:val="21"/>
              </w:rPr>
              <w:t>《电子政务数据元</w:t>
            </w:r>
            <w:r>
              <w:rPr>
                <w:rFonts w:hint="eastAsia" w:ascii="宋体" w:hAnsi="宋体"/>
                <w:color w:val="000000"/>
                <w:szCs w:val="21"/>
                <w:lang w:val="en-US" w:eastAsia="zh-CN"/>
              </w:rPr>
              <w:t xml:space="preserve"> </w:t>
            </w:r>
            <w:r>
              <w:rPr>
                <w:rFonts w:hint="eastAsia" w:ascii="宋体" w:hAnsi="宋体"/>
                <w:color w:val="000000"/>
                <w:szCs w:val="21"/>
              </w:rPr>
              <w:t>第1部分：设计和管理规范》</w:t>
            </w:r>
            <w:r>
              <w:rPr>
                <w:rFonts w:hint="eastAsia" w:ascii="宋体" w:hAnsi="宋体"/>
                <w:color w:val="000000"/>
                <w:szCs w:val="21"/>
                <w:lang w:eastAsia="zh-CN"/>
              </w:rPr>
              <w:t>、</w:t>
            </w:r>
            <w:r>
              <w:rPr>
                <w:rFonts w:hint="eastAsia" w:ascii="宋体" w:hAnsi="宋体"/>
                <w:color w:val="000000"/>
                <w:szCs w:val="21"/>
              </w:rPr>
              <w:t>GB/T 31880—2015</w:t>
            </w:r>
            <w:r>
              <w:rPr>
                <w:rFonts w:hint="eastAsia" w:ascii="宋体" w:hAnsi="宋体"/>
                <w:color w:val="000000"/>
                <w:szCs w:val="21"/>
                <w:lang w:val="en-US" w:eastAsia="zh-CN"/>
              </w:rPr>
              <w:t xml:space="preserve"> </w:t>
            </w:r>
            <w:r>
              <w:rPr>
                <w:rFonts w:hint="eastAsia" w:ascii="宋体" w:hAnsi="宋体"/>
                <w:color w:val="000000"/>
                <w:szCs w:val="21"/>
              </w:rPr>
              <w:t>《检验检测机构诚信基本要求》，这些文件的部分条款构成本标准必不可少的组成部分。</w:t>
            </w:r>
          </w:p>
          <w:p>
            <w:pPr>
              <w:rPr>
                <w:rFonts w:hint="eastAsia" w:ascii="黑体" w:hAnsi="黑体" w:eastAsia="黑体" w:cs="黑体"/>
                <w:color w:val="000000"/>
                <w:szCs w:val="21"/>
              </w:rPr>
            </w:pPr>
            <w:r>
              <w:rPr>
                <w:rFonts w:hint="eastAsia" w:ascii="黑体" w:hAnsi="黑体" w:eastAsia="黑体" w:cs="黑体"/>
                <w:color w:val="000000"/>
                <w:szCs w:val="21"/>
              </w:rPr>
              <w:t>3.术语和定义</w:t>
            </w:r>
          </w:p>
          <w:p>
            <w:pPr>
              <w:rPr>
                <w:rFonts w:hint="eastAsia" w:ascii="宋体" w:hAnsi="宋体"/>
                <w:color w:val="000000"/>
                <w:szCs w:val="21"/>
              </w:rPr>
            </w:pPr>
            <w:r>
              <w:rPr>
                <w:rFonts w:hint="eastAsia" w:ascii="宋体" w:hAnsi="宋体"/>
                <w:color w:val="000000"/>
                <w:szCs w:val="21"/>
              </w:rPr>
              <w:t>为便于对标准条文的理解，对“检验检测</w:t>
            </w:r>
            <w:r>
              <w:rPr>
                <w:rFonts w:hint="eastAsia" w:ascii="宋体" w:hAnsi="宋体"/>
                <w:color w:val="000000"/>
                <w:szCs w:val="21"/>
                <w:lang w:eastAsia="zh-CN"/>
              </w:rPr>
              <w:t>机构</w:t>
            </w:r>
            <w:r>
              <w:rPr>
                <w:rFonts w:hint="eastAsia" w:ascii="宋体" w:hAnsi="宋体"/>
                <w:color w:val="000000"/>
                <w:szCs w:val="21"/>
              </w:rPr>
              <w:t>”“</w:t>
            </w:r>
            <w:r>
              <w:rPr>
                <w:rFonts w:hint="eastAsia" w:ascii="宋体" w:hAnsi="宋体"/>
                <w:color w:val="000000"/>
                <w:szCs w:val="21"/>
                <w:lang w:eastAsia="zh-CN"/>
              </w:rPr>
              <w:t>资质认定</w:t>
            </w:r>
            <w:r>
              <w:rPr>
                <w:rFonts w:hint="eastAsia" w:ascii="宋体" w:hAnsi="宋体"/>
                <w:color w:val="000000"/>
                <w:szCs w:val="21"/>
              </w:rPr>
              <w:t>”“</w:t>
            </w:r>
            <w:r>
              <w:rPr>
                <w:rFonts w:hint="eastAsia" w:ascii="宋体" w:hAnsi="宋体"/>
                <w:color w:val="000000"/>
                <w:szCs w:val="21"/>
                <w:lang w:eastAsia="zh-CN"/>
              </w:rPr>
              <w:t>资质认定评审员</w:t>
            </w:r>
            <w:r>
              <w:rPr>
                <w:rFonts w:hint="eastAsia" w:ascii="宋体" w:hAnsi="宋体"/>
                <w:color w:val="000000"/>
                <w:szCs w:val="21"/>
              </w:rPr>
              <w:t>”等</w:t>
            </w:r>
            <w:r>
              <w:rPr>
                <w:rFonts w:hint="eastAsia" w:ascii="宋体" w:hAnsi="宋体"/>
                <w:color w:val="000000"/>
                <w:szCs w:val="21"/>
                <w:lang w:val="en-US" w:eastAsia="zh-CN"/>
              </w:rPr>
              <w:t>3</w:t>
            </w:r>
            <w:r>
              <w:rPr>
                <w:rFonts w:hint="eastAsia" w:ascii="宋体" w:hAnsi="宋体"/>
                <w:color w:val="000000"/>
                <w:szCs w:val="21"/>
              </w:rPr>
              <w:t>个核心术语进行了定义，并与GB/T 31880—2015界定的相关术语共同适用于本标准。</w:t>
            </w:r>
          </w:p>
          <w:p>
            <w:pPr>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4.检验检测机构资质认定数据组成</w:t>
            </w:r>
          </w:p>
          <w:p>
            <w:pPr>
              <w:rPr>
                <w:rFonts w:hint="eastAsia" w:ascii="宋体" w:hAnsi="宋体"/>
                <w:color w:val="000000"/>
                <w:szCs w:val="21"/>
              </w:rPr>
            </w:pPr>
            <w:r>
              <w:rPr>
                <w:rFonts w:hint="eastAsia" w:ascii="宋体" w:hAnsi="宋体"/>
                <w:color w:val="000000"/>
                <w:szCs w:val="21"/>
              </w:rPr>
              <w:t>提出了检验检测机构资质认定数据包括资质认定管理数据、质检中心管理数据、评审员管理数据。其中：</w:t>
            </w:r>
          </w:p>
          <w:p>
            <w:pPr>
              <w:rPr>
                <w:rFonts w:hint="eastAsia" w:ascii="宋体" w:hAnsi="宋体"/>
                <w:color w:val="000000"/>
                <w:szCs w:val="21"/>
              </w:rPr>
            </w:pPr>
            <w:r>
              <w:rPr>
                <w:rFonts w:hint="eastAsia" w:ascii="宋体" w:hAnsi="宋体"/>
                <w:color w:val="000000"/>
                <w:szCs w:val="21"/>
              </w:rPr>
              <w:t>资质认定管理数据包括检验检测机构概况、资质认定证书、机构人员、</w:t>
            </w:r>
            <w:r>
              <w:rPr>
                <w:rFonts w:hint="eastAsia" w:ascii="宋体" w:hAnsi="宋体"/>
                <w:color w:val="000000"/>
                <w:szCs w:val="21"/>
                <w:lang w:eastAsia="zh-CN"/>
              </w:rPr>
              <w:t>人员从业经历、</w:t>
            </w:r>
            <w:r>
              <w:rPr>
                <w:rFonts w:hint="eastAsia" w:ascii="宋体" w:hAnsi="宋体"/>
                <w:color w:val="000000"/>
                <w:szCs w:val="21"/>
              </w:rPr>
              <w:t>机构场所、机构仪器设备、检测能力、授权签字人、评审员、技术评价机构、能力项目库。</w:t>
            </w:r>
          </w:p>
          <w:p>
            <w:pPr>
              <w:rPr>
                <w:rFonts w:hint="eastAsia" w:ascii="宋体" w:hAnsi="宋体"/>
                <w:color w:val="000000"/>
                <w:szCs w:val="21"/>
              </w:rPr>
            </w:pPr>
            <w:r>
              <w:rPr>
                <w:rFonts w:hint="eastAsia" w:ascii="宋体" w:hAnsi="宋体"/>
                <w:color w:val="000000"/>
                <w:szCs w:val="21"/>
              </w:rPr>
              <w:t>质检中心管理数据包括质检中心基本情况、专业技术人员、检测设备、验收、社会责任报告。</w:t>
            </w:r>
          </w:p>
          <w:p>
            <w:pPr>
              <w:rPr>
                <w:rFonts w:hint="eastAsia" w:ascii="宋体" w:hAnsi="宋体"/>
                <w:color w:val="000000"/>
                <w:szCs w:val="21"/>
              </w:rPr>
            </w:pPr>
            <w:r>
              <w:rPr>
                <w:rFonts w:hint="eastAsia" w:ascii="宋体" w:hAnsi="宋体"/>
                <w:color w:val="000000"/>
                <w:szCs w:val="21"/>
              </w:rPr>
              <w:t>资质认定评审员管理数据包括资质认定评审员基本信息、评审经历、工作经历、业务成就、报名信息、考试成绩。</w:t>
            </w:r>
          </w:p>
          <w:p>
            <w:pPr>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5.数据项表示方法及规则</w:t>
            </w:r>
          </w:p>
          <w:p>
            <w:pPr>
              <w:rPr>
                <w:rFonts w:hint="eastAsia" w:ascii="宋体" w:hAnsi="宋体"/>
                <w:color w:val="000000"/>
                <w:szCs w:val="21"/>
              </w:rPr>
            </w:pPr>
            <w:r>
              <w:rPr>
                <w:rFonts w:hint="eastAsia" w:ascii="宋体" w:hAnsi="宋体"/>
                <w:color w:val="000000"/>
                <w:szCs w:val="21"/>
              </w:rPr>
              <w:t>明确了</w:t>
            </w:r>
            <w:r>
              <w:t>检验检测机构资质认定数据的表示应包括数据项名称、数据类型、数据格式、值域及说明。数据项名称命名规则、数据类型及格式的表示方法应符合GB/T 19488.1的规定</w:t>
            </w:r>
            <w:r>
              <w:rPr>
                <w:rFonts w:hint="eastAsia" w:ascii="宋体" w:hAnsi="宋体"/>
                <w:color w:val="000000"/>
                <w:szCs w:val="21"/>
              </w:rPr>
              <w:t>。</w:t>
            </w:r>
          </w:p>
          <w:p>
            <w:pPr>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6.资质认定管理数据</w:t>
            </w:r>
          </w:p>
          <w:p>
            <w:pPr>
              <w:rPr>
                <w:rFonts w:hint="eastAsia" w:ascii="宋体" w:hAnsi="宋体"/>
                <w:color w:val="000000"/>
                <w:szCs w:val="21"/>
              </w:rPr>
            </w:pPr>
            <w:r>
              <w:rPr>
                <w:rFonts w:hint="eastAsia" w:ascii="宋体" w:hAnsi="宋体"/>
                <w:color w:val="000000"/>
                <w:szCs w:val="21"/>
              </w:rPr>
              <w:t>规定了</w:t>
            </w:r>
            <w:r>
              <w:rPr>
                <w:rFonts w:hint="eastAsia" w:ascii="宋体" w:hAnsi="宋体"/>
                <w:color w:val="000000"/>
                <w:szCs w:val="21"/>
                <w:lang w:eastAsia="zh-CN"/>
              </w:rPr>
              <w:t>资质认定管理数据</w:t>
            </w:r>
            <w:r>
              <w:rPr>
                <w:rFonts w:hint="eastAsia" w:ascii="宋体" w:hAnsi="宋体"/>
                <w:color w:val="000000"/>
                <w:szCs w:val="21"/>
              </w:rPr>
              <w:t>包括检验检测机构概况数据、资质认定证书数据、资质认定机构人员数据、检验检测机构场所数据、检验检测机构仪器设备数据、检验检测机构检测能力数据、检验检测机构授权签字人数据、资质认定评审员数据、专业技术评价机构数据、能力项目库数据。</w:t>
            </w:r>
          </w:p>
          <w:p>
            <w:pPr>
              <w:rPr>
                <w:rFonts w:hint="eastAsia" w:ascii="黑体" w:hAnsi="黑体" w:eastAsia="黑体" w:cs="黑体"/>
                <w:b w:val="0"/>
                <w:bCs w:val="0"/>
                <w:color w:val="000000"/>
                <w:szCs w:val="21"/>
                <w:lang w:eastAsia="zh-CN"/>
              </w:rPr>
            </w:pPr>
            <w:r>
              <w:rPr>
                <w:rFonts w:hint="eastAsia" w:ascii="黑体" w:hAnsi="黑体" w:eastAsia="黑体" w:cs="黑体"/>
                <w:b w:val="0"/>
                <w:bCs w:val="0"/>
                <w:color w:val="000000"/>
                <w:szCs w:val="21"/>
              </w:rPr>
              <w:t>7.</w:t>
            </w:r>
            <w:r>
              <w:rPr>
                <w:rFonts w:hint="eastAsia" w:ascii="黑体" w:hAnsi="黑体" w:eastAsia="黑体" w:cs="黑体"/>
                <w:b w:val="0"/>
                <w:bCs w:val="0"/>
                <w:color w:val="000000"/>
                <w:szCs w:val="21"/>
                <w:lang w:eastAsia="zh-CN"/>
              </w:rPr>
              <w:t>质检中心管理数据</w:t>
            </w:r>
          </w:p>
          <w:p>
            <w:pPr>
              <w:rPr>
                <w:rFonts w:hint="eastAsia" w:ascii="宋体" w:hAnsi="宋体" w:eastAsia="宋体"/>
                <w:color w:val="000000"/>
                <w:szCs w:val="21"/>
                <w:lang w:eastAsia="zh-CN"/>
              </w:rPr>
            </w:pPr>
            <w:r>
              <w:rPr>
                <w:rFonts w:hint="eastAsia" w:ascii="宋体" w:hAnsi="宋体"/>
                <w:color w:val="000000"/>
                <w:szCs w:val="21"/>
                <w:lang w:eastAsia="zh-CN"/>
              </w:rPr>
              <w:t>规定了质检中心管理数据包括</w:t>
            </w:r>
            <w:r>
              <w:rPr>
                <w:rFonts w:hint="eastAsia" w:ascii="宋体" w:hAnsi="宋体"/>
                <w:color w:val="000000"/>
                <w:szCs w:val="21"/>
              </w:rPr>
              <w:t>质检中心基本情况数据、质检中心资质专业技术人员数据、质检中心检测设备数据、质检中心验收数据、社会责任报告数据</w:t>
            </w:r>
            <w:r>
              <w:rPr>
                <w:rFonts w:hint="eastAsia" w:ascii="宋体" w:hAnsi="宋体"/>
                <w:color w:val="000000"/>
                <w:szCs w:val="21"/>
                <w:lang w:eastAsia="zh-CN"/>
              </w:rPr>
              <w:t>。</w:t>
            </w:r>
          </w:p>
          <w:p>
            <w:pPr>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8.资质认定评审员管理数据</w:t>
            </w:r>
          </w:p>
          <w:p>
            <w:pPr>
              <w:rPr>
                <w:rFonts w:hint="eastAsia" w:ascii="宋体" w:hAnsi="宋体" w:eastAsia="宋体"/>
                <w:color w:val="000000"/>
                <w:szCs w:val="21"/>
                <w:lang w:eastAsia="zh-CN"/>
              </w:rPr>
            </w:pPr>
            <w:r>
              <w:rPr>
                <w:rFonts w:hint="eastAsia" w:ascii="宋体" w:hAnsi="宋体"/>
                <w:color w:val="000000"/>
                <w:szCs w:val="21"/>
                <w:lang w:eastAsia="zh-CN"/>
              </w:rPr>
              <w:t>规定了</w:t>
            </w:r>
            <w:r>
              <w:rPr>
                <w:rFonts w:hint="eastAsia"/>
                <w:color w:val="000000" w:themeColor="text1"/>
              </w:rPr>
              <w:t>资质认定评审员管理数据</w:t>
            </w:r>
            <w:r>
              <w:rPr>
                <w:rFonts w:hint="eastAsia"/>
                <w:color w:val="000000" w:themeColor="text1"/>
                <w:lang w:eastAsia="zh-CN"/>
              </w:rPr>
              <w:t>包括基本信息数据、评审经历数据、工作经历数据、业务成就数据、考试报名数据、考试成绩数据</w:t>
            </w:r>
          </w:p>
        </w:tc>
      </w:tr>
    </w:tbl>
    <w:p>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800"/>
        <w:gridCol w:w="6"/>
        <w:gridCol w:w="3853"/>
        <w:gridCol w:w="1315"/>
        <w:gridCol w:w="26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0" w:hRule="atLeast"/>
        </w:trPr>
        <w:tc>
          <w:tcPr>
            <w:tcW w:w="9625" w:type="dxa"/>
            <w:gridSpan w:val="5"/>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 xml:space="preserve">5  </w:t>
            </w:r>
            <w:r>
              <w:rPr>
                <w:rFonts w:hint="eastAsia" w:ascii="宋体" w:hAnsi="宋体"/>
                <w:b/>
                <w:color w:val="000000"/>
                <w:szCs w:val="21"/>
                <w:highlight w:val="none"/>
              </w:rPr>
              <w:t>验证情况</w:t>
            </w:r>
            <w:r>
              <w:rPr>
                <w:rFonts w:hint="eastAsia" w:ascii="宋体" w:hAnsi="宋体"/>
                <w:b/>
                <w:color w:val="000000"/>
                <w:szCs w:val="21"/>
              </w:rPr>
              <w:t>（基础类标准除外）</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85" w:hRule="atLeast"/>
        </w:trPr>
        <w:tc>
          <w:tcPr>
            <w:tcW w:w="1800" w:type="dxa"/>
            <w:vMerge w:val="restart"/>
            <w:tcBorders>
              <w:top w:val="single" w:color="auto" w:sz="4" w:space="0"/>
              <w:left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5.1 验证单位情况</w:t>
            </w:r>
          </w:p>
        </w:tc>
        <w:tc>
          <w:tcPr>
            <w:tcW w:w="38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ascii="宋体" w:hAnsi="宋体"/>
                <w:color w:val="000000"/>
                <w:szCs w:val="21"/>
              </w:rPr>
            </w:pPr>
            <w:r>
              <w:rPr>
                <w:rFonts w:ascii="宋体" w:hAnsi="宋体"/>
                <w:color w:val="000000"/>
                <w:szCs w:val="21"/>
              </w:rPr>
              <w:t>验证单位</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验证人员</w:t>
            </w:r>
          </w:p>
        </w:tc>
        <w:tc>
          <w:tcPr>
            <w:tcW w:w="26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验证时间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华测检测认证集团股份有限公司</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黄靓</w:t>
            </w:r>
          </w:p>
        </w:tc>
        <w:tc>
          <w:tcPr>
            <w:tcW w:w="2651" w:type="dxa"/>
            <w:tcBorders>
              <w:top w:val="single" w:color="auto" w:sz="4" w:space="0"/>
              <w:left w:val="single" w:color="auto" w:sz="4" w:space="0"/>
              <w:bottom w:val="single" w:color="auto" w:sz="4" w:space="0"/>
              <w:right w:val="single" w:color="auto" w:sz="4" w:space="0"/>
            </w:tcBorders>
            <w:vAlign w:val="top"/>
          </w:tcPr>
          <w:p>
            <w:pPr>
              <w:jc w:val="right"/>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2026</w:t>
            </w:r>
            <w:r>
              <w:rPr>
                <w:rFonts w:ascii="宋体" w:hAnsi="宋体"/>
                <w:color w:val="000000"/>
                <w:szCs w:val="21"/>
              </w:rPr>
              <w:t>年</w:t>
            </w:r>
            <w:r>
              <w:rPr>
                <w:rFonts w:hint="eastAsia" w:ascii="宋体" w:hAnsi="宋体"/>
                <w:color w:val="000000"/>
                <w:szCs w:val="21"/>
                <w:lang w:val="en-US" w:eastAsia="zh-CN"/>
              </w:rPr>
              <w:t>9</w:t>
            </w:r>
            <w:r>
              <w:rPr>
                <w:rFonts w:ascii="宋体" w:hAnsi="宋体"/>
                <w:color w:val="000000"/>
                <w:szCs w:val="21"/>
              </w:rPr>
              <w:t>月</w:t>
            </w:r>
            <w:r>
              <w:rPr>
                <w:rFonts w:hint="eastAsia" w:ascii="宋体" w:hAnsi="宋体"/>
                <w:color w:val="000000"/>
                <w:szCs w:val="21"/>
                <w:lang w:val="en-US" w:eastAsia="zh-CN"/>
              </w:rPr>
              <w:t>9</w:t>
            </w:r>
            <w:r>
              <w:rPr>
                <w:rFonts w:ascii="宋体" w:hAnsi="宋体"/>
                <w:color w:val="000000"/>
                <w:szCs w:val="21"/>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hint="default"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中机寰宇（山东）认证检测有限公司</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Times New Roman"/>
                <w:color w:val="000000"/>
                <w:kern w:val="2"/>
                <w:sz w:val="21"/>
                <w:szCs w:val="21"/>
                <w:lang w:val="en-US" w:eastAsia="zh-CN" w:bidi="ar-SA"/>
              </w:rPr>
            </w:pPr>
            <w:r>
              <w:rPr>
                <w:rFonts w:hint="eastAsia" w:ascii="宋体" w:hAnsi="宋体"/>
                <w:color w:val="000000"/>
                <w:szCs w:val="21"/>
                <w:lang w:eastAsia="zh-CN"/>
              </w:rPr>
              <w:t>许双龙</w:t>
            </w:r>
          </w:p>
        </w:tc>
        <w:tc>
          <w:tcPr>
            <w:tcW w:w="2651" w:type="dxa"/>
            <w:tcBorders>
              <w:top w:val="single" w:color="auto" w:sz="4" w:space="0"/>
              <w:left w:val="single" w:color="auto" w:sz="4" w:space="0"/>
              <w:bottom w:val="single" w:color="auto" w:sz="4" w:space="0"/>
              <w:right w:val="single" w:color="auto" w:sz="4" w:space="0"/>
            </w:tcBorders>
            <w:vAlign w:val="top"/>
          </w:tcPr>
          <w:p>
            <w:pPr>
              <w:jc w:val="right"/>
              <w:rPr>
                <w:rFonts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2026</w:t>
            </w:r>
            <w:r>
              <w:rPr>
                <w:rFonts w:ascii="宋体" w:hAnsi="宋体"/>
                <w:color w:val="000000"/>
                <w:szCs w:val="21"/>
              </w:rPr>
              <w:t>年</w:t>
            </w:r>
            <w:r>
              <w:rPr>
                <w:rFonts w:hint="eastAsia" w:ascii="宋体" w:hAnsi="宋体"/>
                <w:color w:val="000000"/>
                <w:szCs w:val="21"/>
                <w:lang w:val="en-US" w:eastAsia="zh-CN"/>
              </w:rPr>
              <w:t>9</w:t>
            </w:r>
            <w:r>
              <w:rPr>
                <w:rFonts w:ascii="宋体" w:hAnsi="宋体"/>
                <w:color w:val="000000"/>
                <w:szCs w:val="21"/>
              </w:rPr>
              <w:t>月</w:t>
            </w:r>
            <w:r>
              <w:rPr>
                <w:rFonts w:hint="eastAsia" w:ascii="宋体" w:hAnsi="宋体"/>
                <w:color w:val="000000"/>
                <w:szCs w:val="21"/>
                <w:lang w:val="en-US" w:eastAsia="zh-CN"/>
              </w:rPr>
              <w:t>10</w:t>
            </w:r>
            <w:r>
              <w:rPr>
                <w:rFonts w:ascii="宋体" w:hAnsi="宋体"/>
                <w:color w:val="000000"/>
                <w:szCs w:val="21"/>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江苏省市场监管局</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苗文彖</w:t>
            </w:r>
          </w:p>
        </w:tc>
        <w:tc>
          <w:tcPr>
            <w:tcW w:w="2651" w:type="dxa"/>
            <w:tcBorders>
              <w:top w:val="single" w:color="auto" w:sz="4" w:space="0"/>
              <w:left w:val="single" w:color="auto" w:sz="4" w:space="0"/>
              <w:bottom w:val="single" w:color="auto" w:sz="4" w:space="0"/>
              <w:right w:val="single" w:color="auto" w:sz="4" w:space="0"/>
            </w:tcBorders>
            <w:vAlign w:val="center"/>
          </w:tcPr>
          <w:p>
            <w:pPr>
              <w:wordWrap w:val="0"/>
              <w:jc w:val="right"/>
              <w:rPr>
                <w:rFonts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2026</w:t>
            </w:r>
            <w:r>
              <w:rPr>
                <w:rFonts w:ascii="宋体" w:hAnsi="宋体"/>
                <w:color w:val="000000"/>
                <w:szCs w:val="21"/>
              </w:rPr>
              <w:t>年</w:t>
            </w:r>
            <w:r>
              <w:rPr>
                <w:rFonts w:hint="eastAsia" w:ascii="宋体" w:hAnsi="宋体"/>
                <w:color w:val="000000"/>
                <w:szCs w:val="21"/>
                <w:lang w:val="en-US" w:eastAsia="zh-CN"/>
              </w:rPr>
              <w:t>9</w:t>
            </w:r>
            <w:r>
              <w:rPr>
                <w:rFonts w:ascii="宋体" w:hAnsi="宋体"/>
                <w:color w:val="000000"/>
                <w:szCs w:val="21"/>
              </w:rPr>
              <w:t>月</w:t>
            </w:r>
            <w:r>
              <w:rPr>
                <w:rFonts w:hint="eastAsia" w:ascii="宋体" w:hAnsi="宋体"/>
                <w:color w:val="000000"/>
                <w:szCs w:val="21"/>
                <w:lang w:val="en-US" w:eastAsia="zh-CN"/>
              </w:rPr>
              <w:t>15</w:t>
            </w:r>
            <w:r>
              <w:rPr>
                <w:rFonts w:ascii="宋体" w:hAnsi="宋体"/>
                <w:color w:val="000000"/>
                <w:szCs w:val="21"/>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hint="default" w:ascii="宋体" w:hAnsi="宋体" w:eastAsia="宋体" w:cs="Times New Roman"/>
                <w:color w:val="000000"/>
                <w:kern w:val="2"/>
                <w:sz w:val="21"/>
                <w:szCs w:val="21"/>
                <w:lang w:val="en-US" w:eastAsia="zh-CN" w:bidi="ar-SA"/>
              </w:rPr>
            </w:pPr>
            <w:r>
              <w:rPr>
                <w:rFonts w:hint="eastAsia" w:ascii="宋体" w:hAnsi="宋体"/>
                <w:color w:val="000000"/>
                <w:szCs w:val="21"/>
                <w:lang w:eastAsia="zh-CN"/>
              </w:rPr>
              <w:t>浙江省质量科学研究院</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lang w:eastAsia="zh-CN"/>
              </w:rPr>
              <w:t>刘佳莹</w:t>
            </w:r>
          </w:p>
        </w:tc>
        <w:tc>
          <w:tcPr>
            <w:tcW w:w="2651" w:type="dxa"/>
            <w:tcBorders>
              <w:top w:val="single" w:color="auto" w:sz="4" w:space="0"/>
              <w:left w:val="single" w:color="auto" w:sz="4" w:space="0"/>
              <w:bottom w:val="single" w:color="auto" w:sz="4" w:space="0"/>
              <w:right w:val="single" w:color="auto" w:sz="4" w:space="0"/>
            </w:tcBorders>
            <w:vAlign w:val="top"/>
          </w:tcPr>
          <w:p>
            <w:pPr>
              <w:jc w:val="right"/>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2026</w:t>
            </w:r>
            <w:r>
              <w:rPr>
                <w:rFonts w:ascii="宋体" w:hAnsi="宋体"/>
                <w:color w:val="000000"/>
                <w:szCs w:val="21"/>
              </w:rPr>
              <w:t>年</w:t>
            </w:r>
            <w:r>
              <w:rPr>
                <w:rFonts w:hint="eastAsia" w:ascii="宋体" w:hAnsi="宋体"/>
                <w:color w:val="000000"/>
                <w:szCs w:val="21"/>
                <w:lang w:val="en-US" w:eastAsia="zh-CN"/>
              </w:rPr>
              <w:t>9</w:t>
            </w:r>
            <w:r>
              <w:rPr>
                <w:rFonts w:ascii="宋体" w:hAnsi="宋体"/>
                <w:color w:val="000000"/>
                <w:szCs w:val="21"/>
              </w:rPr>
              <w:t>月</w:t>
            </w:r>
            <w:r>
              <w:rPr>
                <w:rFonts w:hint="eastAsia" w:ascii="宋体" w:hAnsi="宋体"/>
                <w:color w:val="000000"/>
                <w:szCs w:val="21"/>
                <w:lang w:val="en-US" w:eastAsia="zh-CN"/>
              </w:rPr>
              <w:t>16</w:t>
            </w:r>
            <w:r>
              <w:rPr>
                <w:rFonts w:ascii="宋体" w:hAnsi="宋体"/>
                <w:color w:val="000000"/>
                <w:szCs w:val="21"/>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7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5.2</w:t>
            </w:r>
            <w:r>
              <w:rPr>
                <w:rFonts w:hint="eastAsia" w:ascii="宋体" w:hAnsi="宋体"/>
                <w:color w:val="000000"/>
                <w:szCs w:val="21"/>
              </w:rPr>
              <w:t>试验、</w:t>
            </w:r>
            <w:r>
              <w:rPr>
                <w:rFonts w:ascii="宋体" w:hAnsi="宋体"/>
                <w:color w:val="000000"/>
                <w:szCs w:val="21"/>
              </w:rPr>
              <w:t xml:space="preserve"> 验证</w:t>
            </w:r>
            <w:r>
              <w:rPr>
                <w:rFonts w:hint="eastAsia" w:ascii="宋体" w:hAnsi="宋体"/>
                <w:color w:val="000000"/>
                <w:szCs w:val="21"/>
              </w:rPr>
              <w:t>、试行</w:t>
            </w:r>
            <w:r>
              <w:rPr>
                <w:rFonts w:ascii="宋体" w:hAnsi="宋体"/>
                <w:color w:val="000000"/>
                <w:szCs w:val="21"/>
              </w:rPr>
              <w:t>过程</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验证单位于2026年9月期间，依据《</w:t>
            </w:r>
            <w:sdt>
              <w:sdtPr>
                <w:rPr>
                  <w:color w:val="000000" w:themeColor="text1"/>
                </w:rPr>
                <w:tag w:val="NEW_STAND_NAME"/>
                <w:id w:val="595910757"/>
                <w:lock w:val="sdtLocked"/>
                <w:placeholder>
                  <w:docPart w:val="{7090fde3-1ddf-4ba7-b46e-0e185c002209}"/>
                </w:placeholder>
              </w:sdtPr>
              <w:sdtEndPr>
                <w:rPr>
                  <w:color w:val="000000" w:themeColor="text1"/>
                </w:rPr>
              </w:sdtEndPr>
              <w:sdtContent>
                <w:r>
                  <w:rPr>
                    <w:rFonts w:hint="eastAsia"/>
                    <w:color w:val="000000" w:themeColor="text1"/>
                  </w:rPr>
                  <w:t>检验检测机构资质认定数据规范</w:t>
                </w:r>
              </w:sdtContent>
            </w:sdt>
            <w:r>
              <w:rPr>
                <w:rFonts w:hint="eastAsia" w:ascii="宋体" w:hAnsi="宋体"/>
                <w:color w:val="000000"/>
                <w:szCs w:val="21"/>
                <w:lang w:val="en-US" w:eastAsia="zh-CN"/>
              </w:rPr>
              <w:t>》（草案稿）开展了验证工作。验证过程中，各单位均对标准内容的适用性、完整性和可操作性进行了实际检验。后续征求意见过程中可以进一步验证。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98"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5.3 验证数据分析</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各验证单位在验证过程中均未提出重大修改意见，标准框架和技术要求在实际操作中运行良好，未发现结构性或执行性障碍。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505"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 xml:space="preserve">5.4 </w:t>
            </w:r>
            <w:r>
              <w:rPr>
                <w:rFonts w:hint="eastAsia" w:ascii="宋体" w:hAnsi="宋体"/>
                <w:color w:val="000000"/>
                <w:szCs w:val="21"/>
              </w:rPr>
              <w:t>试验、</w:t>
            </w:r>
            <w:r>
              <w:rPr>
                <w:rFonts w:ascii="宋体" w:hAnsi="宋体"/>
                <w:color w:val="000000"/>
                <w:szCs w:val="21"/>
              </w:rPr>
              <w:t>验证</w:t>
            </w:r>
            <w:r>
              <w:rPr>
                <w:rFonts w:hint="eastAsia" w:ascii="宋体" w:hAnsi="宋体"/>
                <w:color w:val="000000"/>
                <w:szCs w:val="21"/>
              </w:rPr>
              <w:t>、试行</w:t>
            </w:r>
            <w:r>
              <w:rPr>
                <w:rFonts w:ascii="宋体" w:hAnsi="宋体"/>
                <w:color w:val="000000"/>
                <w:szCs w:val="21"/>
              </w:rPr>
              <w:t>评价</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val="en-US" w:eastAsia="zh-CN"/>
              </w:rPr>
            </w:pPr>
            <w:r>
              <w:rPr>
                <w:rFonts w:hint="eastAsia" w:ascii="宋体" w:hAnsi="宋体" w:eastAsia="宋体" w:cs="Times New Roman"/>
                <w:color w:val="000000"/>
                <w:szCs w:val="21"/>
                <w:lang w:val="en-US" w:eastAsia="zh-CN"/>
              </w:rPr>
              <w:t>综合验证单位的应用实践证明，《</w:t>
            </w:r>
            <w:sdt>
              <w:sdtPr>
                <w:rPr>
                  <w:rFonts w:hint="eastAsia" w:ascii="宋体" w:hAnsi="宋体" w:eastAsia="宋体" w:cs="Times New Roman"/>
                  <w:color w:val="000000"/>
                  <w:szCs w:val="21"/>
                  <w:lang w:val="en-US" w:eastAsia="zh-CN"/>
                </w:rPr>
                <w:tag w:val="NEW_STAND_NAME"/>
                <w:id w:val="595910757"/>
                <w:lock w:val="sdtLocked"/>
                <w:placeholder>
                  <w:docPart w:val="{77daac4c-2fb7-42e0-82f7-d02dcdd18b4b}"/>
                </w:placeholder>
              </w:sdtPr>
              <w:sdtEndPr>
                <w:rPr>
                  <w:rFonts w:hint="eastAsia" w:ascii="宋体" w:hAnsi="宋体" w:eastAsia="宋体" w:cs="Times New Roman"/>
                  <w:color w:val="000000"/>
                  <w:szCs w:val="21"/>
                  <w:lang w:val="en-US" w:eastAsia="zh-CN"/>
                </w:rPr>
              </w:sdtEndPr>
              <w:sdtContent>
                <w:r>
                  <w:rPr>
                    <w:rFonts w:hint="eastAsia" w:ascii="宋体" w:hAnsi="宋体" w:eastAsia="宋体" w:cs="Times New Roman"/>
                    <w:color w:val="000000"/>
                    <w:szCs w:val="21"/>
                    <w:lang w:val="en-US" w:eastAsia="zh-CN"/>
                  </w:rPr>
                  <w:t>检验检测机构资质认定数据规范</w:t>
                </w:r>
              </w:sdtContent>
            </w:sdt>
            <w:r>
              <w:rPr>
                <w:rFonts w:hint="eastAsia" w:ascii="宋体" w:hAnsi="宋体" w:eastAsia="宋体" w:cs="Times New Roman"/>
                <w:color w:val="000000"/>
                <w:szCs w:val="21"/>
                <w:lang w:val="en-US" w:eastAsia="zh-CN"/>
              </w:rPr>
              <w:t>》（草案稿）框架完整、技术要求明确、可操作性强，适用于相关行业主管部门、检验检测机构以及相关组织对数据的组织管理及应用，具备良好的实践应用与推广价值，建议进一步推广应用。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02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5.5 其他应说明的情况</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w:t>
            </w:r>
          </w:p>
        </w:tc>
      </w:tr>
    </w:tbl>
    <w:p>
      <w:pPr>
        <w:rPr>
          <w:rFonts w:eastAsia="仿宋_GB2312"/>
          <w:b/>
          <w:color w:val="000000"/>
          <w:kern w:val="0"/>
          <w:sz w:val="32"/>
        </w:rPr>
      </w:pPr>
    </w:p>
    <w:p>
      <w:pPr>
        <w:rPr>
          <w:rFonts w:eastAsia="仿宋_GB2312"/>
          <w:b/>
          <w:color w:val="000000"/>
          <w:kern w:val="0"/>
          <w:sz w:val="32"/>
        </w:rPr>
      </w:pPr>
    </w:p>
    <w:p>
      <w:pPr>
        <w:rPr>
          <w:rFonts w:eastAsia="仿宋_GB2312"/>
          <w:b/>
          <w:color w:val="000000"/>
          <w:kern w:val="0"/>
          <w:sz w:val="32"/>
        </w:rPr>
      </w:pPr>
      <w:r>
        <w:rPr>
          <w:rFonts w:eastAsia="仿宋_GB2312"/>
          <w:b/>
          <w:color w:val="000000"/>
          <w:kern w:val="0"/>
          <w:sz w:val="32"/>
        </w:rPr>
        <w:br w:type="page"/>
      </w: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6"/>
        <w:gridCol w:w="1288"/>
        <w:gridCol w:w="1080"/>
        <w:gridCol w:w="1620"/>
        <w:gridCol w:w="1440"/>
        <w:gridCol w:w="239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8" w:hRule="atLeast"/>
        </w:trPr>
        <w:tc>
          <w:tcPr>
            <w:tcW w:w="9625" w:type="dxa"/>
            <w:gridSpan w:val="7"/>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6  附加说明（可选项）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1"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6.1 宣贯标准的建议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hint="default" w:ascii="宋体" w:hAnsi="宋体" w:eastAsia="宋体"/>
                <w:color w:val="000000"/>
                <w:szCs w:val="21"/>
                <w:lang w:val="en-US" w:eastAsia="zh-CN"/>
              </w:rPr>
            </w:pPr>
            <w:r>
              <w:rPr>
                <w:rFonts w:hint="eastAsia" w:ascii="宋体" w:hAnsi="宋体"/>
                <w:color w:val="000000"/>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38"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6.2 修订和废除现行有关标准的建议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34"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w:t>
            </w:r>
            <w:r>
              <w:rPr>
                <w:rFonts w:hint="eastAsia" w:ascii="宋体" w:hAnsi="宋体"/>
                <w:color w:val="000000"/>
                <w:szCs w:val="21"/>
              </w:rPr>
              <w:t>3重大分歧意见的处理经过和依据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70"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6.4 其他需要说明的情况</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21"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6.5 参考文献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180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联系人</w:t>
            </w:r>
          </w:p>
        </w:tc>
        <w:tc>
          <w:tcPr>
            <w:tcW w:w="12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olor w:val="000000"/>
                <w:szCs w:val="21"/>
                <w:lang w:val="en-US" w:eastAsia="zh-CN"/>
              </w:rPr>
            </w:pPr>
            <w:r>
              <w:rPr>
                <w:rFonts w:hint="eastAsia" w:ascii="宋体" w:hAnsi="宋体"/>
                <w:color w:val="000000"/>
                <w:szCs w:val="21"/>
                <w:lang w:val="en-US" w:eastAsia="zh-CN"/>
              </w:rPr>
              <w:t>张冀川</w:t>
            </w: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联系电话</w:t>
            </w: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olor w:val="000000"/>
                <w:szCs w:val="21"/>
                <w:lang w:val="en-US" w:eastAsia="zh-CN"/>
              </w:rPr>
            </w:pPr>
            <w:r>
              <w:rPr>
                <w:rFonts w:hint="eastAsia" w:ascii="宋体" w:hAnsi="宋体"/>
                <w:color w:val="000000"/>
                <w:szCs w:val="21"/>
                <w:lang w:val="en-US" w:eastAsia="zh-CN"/>
              </w:rPr>
              <w:t>88652566</w:t>
            </w: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电子邮箱</w:t>
            </w:r>
          </w:p>
        </w:tc>
        <w:tc>
          <w:tcPr>
            <w:tcW w:w="2397"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olor w:val="000000"/>
                <w:szCs w:val="21"/>
                <w:lang w:val="en-US" w:eastAsia="zh-CN"/>
              </w:rPr>
            </w:pPr>
            <w:r>
              <w:rPr>
                <w:rFonts w:hint="eastAsia" w:ascii="宋体" w:hAnsi="宋体"/>
                <w:color w:val="000000"/>
                <w:szCs w:val="21"/>
                <w:lang w:val="en-US" w:eastAsia="zh-CN"/>
              </w:rPr>
              <w:t>zhangjichuan@samr.gov.cn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single" w:color="auto" w:sz="4" w:space="0"/>
              <w:bottom w:val="single" w:color="auto" w:sz="4" w:space="0"/>
              <w:right w:val="single" w:color="auto" w:sz="4" w:space="0"/>
            </w:tcBorders>
            <w:vAlign w:val="center"/>
          </w:tcPr>
          <w:p>
            <w:pPr>
              <w:adjustRightInd w:val="0"/>
              <w:spacing w:before="60" w:line="360" w:lineRule="auto"/>
              <w:ind w:firstLine="440" w:firstLineChars="210"/>
              <w:rPr>
                <w:rFonts w:ascii="宋体" w:hAnsi="宋体"/>
                <w:color w:val="000000"/>
                <w:szCs w:val="21"/>
              </w:rPr>
            </w:pPr>
            <w:r>
              <w:rPr>
                <w:rFonts w:ascii="宋体" w:hAnsi="宋体"/>
                <w:color w:val="000000"/>
                <w:szCs w:val="21"/>
              </w:rPr>
              <w:t>注1：本</w:t>
            </w:r>
            <w:r>
              <w:rPr>
                <w:rFonts w:hint="eastAsia" w:ascii="宋体" w:hAnsi="宋体"/>
                <w:color w:val="000000"/>
                <w:szCs w:val="21"/>
              </w:rPr>
              <w:t>格式</w:t>
            </w:r>
            <w:r>
              <w:rPr>
                <w:rFonts w:ascii="宋体" w:hAnsi="宋体"/>
                <w:color w:val="000000"/>
                <w:szCs w:val="21"/>
              </w:rPr>
              <w:t>的</w:t>
            </w:r>
            <w:r>
              <w:rPr>
                <w:rFonts w:hint="eastAsia" w:ascii="宋体" w:hAnsi="宋体"/>
                <w:color w:val="000000"/>
                <w:szCs w:val="21"/>
              </w:rPr>
              <w:t>通用</w:t>
            </w:r>
            <w:r>
              <w:rPr>
                <w:rFonts w:ascii="宋体" w:hAnsi="宋体"/>
                <w:color w:val="000000"/>
                <w:szCs w:val="21"/>
              </w:rPr>
              <w:t>部分为第1章、第2章、第4章和第6章。</w:t>
            </w:r>
          </w:p>
          <w:p>
            <w:pPr>
              <w:adjustRightInd w:val="0"/>
              <w:spacing w:before="60" w:line="360" w:lineRule="auto"/>
              <w:ind w:firstLine="440" w:firstLineChars="210"/>
              <w:rPr>
                <w:rFonts w:ascii="宋体" w:hAnsi="宋体"/>
                <w:color w:val="000000"/>
                <w:szCs w:val="21"/>
              </w:rPr>
            </w:pPr>
            <w:r>
              <w:rPr>
                <w:rFonts w:ascii="宋体" w:hAnsi="宋体"/>
                <w:color w:val="000000"/>
                <w:szCs w:val="21"/>
              </w:rPr>
              <w:t>注2：3.4适用于标准草案送审稿，3.5适用于标准草案报批稿，3.6中</w:t>
            </w:r>
            <w:r>
              <w:rPr>
                <w:rFonts w:hint="eastAsia" w:ascii="宋体" w:hAnsi="宋体"/>
                <w:color w:val="000000"/>
                <w:szCs w:val="21"/>
              </w:rPr>
              <w:t>“</w:t>
            </w:r>
            <w:r>
              <w:rPr>
                <w:rFonts w:ascii="宋体" w:hAnsi="宋体"/>
                <w:color w:val="000000"/>
                <w:szCs w:val="21"/>
              </w:rPr>
              <w:t>预期的管理目标</w:t>
            </w:r>
            <w:r>
              <w:rPr>
                <w:rFonts w:hint="eastAsia" w:ascii="宋体" w:hAnsi="宋体"/>
                <w:color w:val="000000"/>
                <w:szCs w:val="21"/>
              </w:rPr>
              <w:t>”</w:t>
            </w:r>
            <w:r>
              <w:rPr>
                <w:rFonts w:ascii="宋体" w:hAnsi="宋体"/>
                <w:color w:val="000000"/>
                <w:szCs w:val="21"/>
              </w:rPr>
              <w:t>适用于规程类标准，3.6中</w:t>
            </w:r>
            <w:r>
              <w:rPr>
                <w:rFonts w:hint="eastAsia" w:ascii="宋体" w:hAnsi="宋体"/>
                <w:color w:val="000000"/>
                <w:szCs w:val="21"/>
              </w:rPr>
              <w:t>“</w:t>
            </w:r>
            <w:r>
              <w:rPr>
                <w:rFonts w:ascii="宋体" w:hAnsi="宋体"/>
                <w:color w:val="000000"/>
                <w:szCs w:val="21"/>
              </w:rPr>
              <w:t>技术指标</w:t>
            </w:r>
            <w:r>
              <w:rPr>
                <w:rFonts w:hint="eastAsia" w:ascii="宋体" w:hAnsi="宋体"/>
                <w:color w:val="000000"/>
                <w:szCs w:val="21"/>
              </w:rPr>
              <w:t>”</w:t>
            </w:r>
            <w:r>
              <w:rPr>
                <w:rFonts w:ascii="宋体" w:hAnsi="宋体"/>
                <w:color w:val="000000"/>
                <w:szCs w:val="21"/>
              </w:rPr>
              <w:t>适用于方法类标准，第5章适用于方法类标准编制说明的编写。</w:t>
            </w:r>
          </w:p>
          <w:p>
            <w:pPr>
              <w:adjustRightInd w:val="0"/>
              <w:spacing w:before="60" w:line="360" w:lineRule="auto"/>
              <w:ind w:firstLine="440" w:firstLineChars="210"/>
              <w:rPr>
                <w:rFonts w:ascii="宋体" w:hAnsi="宋体"/>
                <w:color w:val="000000"/>
                <w:szCs w:val="21"/>
              </w:rPr>
            </w:pPr>
            <w:r>
              <w:rPr>
                <w:rFonts w:ascii="宋体" w:hAnsi="宋体"/>
                <w:color w:val="000000"/>
                <w:szCs w:val="21"/>
              </w:rPr>
              <w:t>注3：3.1和第6章为可选项，其余为必填项。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nil"/>
              <w:bottom w:val="nil"/>
              <w:right w:val="nil"/>
            </w:tcBorders>
            <w:vAlign w:val="center"/>
          </w:tcPr>
          <w:p>
            <w:pPr>
              <w:wordWrap w:val="0"/>
              <w:ind w:right="480"/>
              <w:jc w:val="right"/>
              <w:rPr>
                <w:rFonts w:ascii="宋体" w:hAnsi="宋体"/>
                <w:color w:val="000000"/>
                <w:szCs w:val="21"/>
              </w:rPr>
            </w:pPr>
            <w:r>
              <w:rPr>
                <w:rFonts w:ascii="宋体" w:hAnsi="宋体"/>
                <w:color w:val="000000"/>
                <w:szCs w:val="21"/>
              </w:rPr>
              <w:t>编写日期：</w:t>
            </w:r>
            <w:r>
              <w:rPr>
                <w:rFonts w:hint="eastAsia" w:ascii="宋体" w:hAnsi="宋体"/>
                <w:color w:val="000000"/>
                <w:szCs w:val="21"/>
                <w:lang w:val="en-US" w:eastAsia="zh-CN"/>
              </w:rPr>
              <w:t>2026</w:t>
            </w:r>
            <w:r>
              <w:rPr>
                <w:rFonts w:ascii="宋体" w:hAnsi="宋体"/>
                <w:color w:val="000000"/>
                <w:szCs w:val="21"/>
              </w:rPr>
              <w:t xml:space="preserve">年 </w:t>
            </w:r>
            <w:r>
              <w:rPr>
                <w:rFonts w:hint="eastAsia" w:ascii="宋体" w:hAnsi="宋体"/>
                <w:color w:val="000000"/>
                <w:szCs w:val="21"/>
                <w:lang w:val="en-US" w:eastAsia="zh-CN"/>
              </w:rPr>
              <w:t>10</w:t>
            </w:r>
            <w:r>
              <w:rPr>
                <w:rFonts w:ascii="宋体" w:hAnsi="宋体"/>
                <w:color w:val="000000"/>
                <w:szCs w:val="21"/>
              </w:rPr>
              <w:t xml:space="preserve">  月  </w:t>
            </w:r>
            <w:r>
              <w:rPr>
                <w:rFonts w:hint="eastAsia" w:ascii="宋体" w:hAnsi="宋体"/>
                <w:color w:val="000000"/>
                <w:szCs w:val="21"/>
                <w:lang w:val="en-US" w:eastAsia="zh-CN"/>
              </w:rPr>
              <w:t>20</w:t>
            </w:r>
            <w:r>
              <w:rPr>
                <w:rFonts w:ascii="宋体" w:hAnsi="宋体"/>
                <w:color w:val="000000"/>
                <w:szCs w:val="21"/>
              </w:rPr>
              <w:t xml:space="preserve">  日</w:t>
            </w:r>
          </w:p>
        </w:tc>
      </w:tr>
    </w:tbl>
    <w:p>
      <w:pPr>
        <w:rPr>
          <w:rFonts w:eastAsia="方正仿宋简体"/>
          <w:b/>
          <w:snapToGrid w:val="0"/>
          <w:color w:val="000000"/>
          <w:kern w:val="0"/>
          <w:sz w:val="32"/>
          <w:szCs w:val="32"/>
        </w:rPr>
      </w:pPr>
    </w:p>
    <w:sectPr>
      <w:headerReference r:id="rId3" w:type="default"/>
      <w:footerReference r:id="rId4" w:type="default"/>
      <w:footerReference r:id="rId5" w:type="even"/>
      <w:pgSz w:w="11907" w:h="16840"/>
      <w:pgMar w:top="1758" w:right="1418" w:bottom="1758" w:left="1418" w:header="851" w:footer="1134" w:gutter="0"/>
      <w:pgNumType w:start="1"/>
      <w:cols w:space="720" w:num="1"/>
      <w:titlePg/>
      <w:docGrid w:linePitch="291" w:charSpace="-37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ˎ̥">
    <w:altName w:val="Times New Roman"/>
    <w:panose1 w:val="00000000000000000000"/>
    <w:charset w:val="00"/>
    <w:family w:val="auto"/>
    <w:pitch w:val="default"/>
    <w:sig w:usb0="00000000" w:usb1="00000000" w:usb2="00000000" w:usb3="00000000" w:csb0="00040001" w:csb1="00000000"/>
  </w:font>
  <w:font w:name="Verdana">
    <w:altName w:val="Ubuntu"/>
    <w:panose1 w:val="020B0604030504040204"/>
    <w:charset w:val="00"/>
    <w:family w:val="swiss"/>
    <w:pitch w:val="default"/>
    <w:sig w:usb0="00000000" w:usb1="00000000"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2000000000000000000"/>
    <w:charset w:val="86"/>
    <w:family w:val="auto"/>
    <w:pitch w:val="default"/>
    <w:sig w:usb0="00000000" w:usb1="00000000"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Microsoft YaHei">
    <w:altName w:val="黑体"/>
    <w:panose1 w:val="00000000000000000000"/>
    <w:charset w:val="00"/>
    <w:family w:val="auto"/>
    <w:pitch w:val="default"/>
    <w:sig w:usb0="00000000" w:usb1="00000000" w:usb2="00000000" w:usb3="00000000" w:csb0="00000000" w:csb1="00000000"/>
  </w:font>
  <w:font w:name="Tahoma">
    <w:altName w:val="Droid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6</w:t>
    </w:r>
    <w:r>
      <w:rPr>
        <w:sz w:val="24"/>
        <w:szCs w:val="24"/>
      </w:rPr>
      <w:fldChar w:fldCharType="end"/>
    </w:r>
    <w:r>
      <w:rPr>
        <w:rFonts w:hint="eastAsia"/>
        <w:sz w:val="24"/>
        <w:szCs w:val="24"/>
      </w:rPr>
      <w:t>-</w:t>
    </w: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1"/>
      </w:rPr>
    </w:pPr>
    <w:r>
      <w:fldChar w:fldCharType="begin"/>
    </w:r>
    <w:r>
      <w:rPr>
        <w:rStyle w:val="41"/>
      </w:rPr>
      <w:instrText xml:space="preserve">PAGE  </w:instrText>
    </w:r>
    <w:r>
      <w:fldChar w:fldCharType="end"/>
    </w:r>
  </w:p>
  <w:p>
    <w:pPr>
      <w:pStyle w:val="79"/>
      <w:ind w:right="360"/>
      <w:rPr>
        <w:rStyle w:val="4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66"/>
      <w:suff w:val="nothing"/>
      <w:lvlText w:val="%1%2.%3.%4　"/>
      <w:lvlJc w:val="left"/>
      <w:pPr>
        <w:ind w:left="0" w:firstLine="0"/>
      </w:pPr>
      <w:rPr>
        <w:rFonts w:hint="eastAsia" w:ascii="黑体" w:hAnsi="Times New Roman" w:eastAsia="黑体"/>
        <w:b w:val="0"/>
        <w:i w:val="0"/>
        <w:sz w:val="21"/>
      </w:rPr>
    </w:lvl>
    <w:lvl w:ilvl="4" w:tentative="0">
      <w:start w:val="1"/>
      <w:numFmt w:val="decimal"/>
      <w:pStyle w:val="107"/>
      <w:suff w:val="nothing"/>
      <w:lvlText w:val="%1%2.%3.%4.%5　"/>
      <w:lvlJc w:val="left"/>
      <w:pPr>
        <w:ind w:left="0" w:firstLine="0"/>
      </w:pPr>
      <w:rPr>
        <w:rFonts w:hint="eastAsia" w:ascii="黑体" w:hAnsi="Times New Roman" w:eastAsia="黑体"/>
        <w:b w:val="0"/>
        <w:i w:val="0"/>
        <w:sz w:val="21"/>
      </w:rPr>
    </w:lvl>
    <w:lvl w:ilvl="5" w:tentative="0">
      <w:start w:val="1"/>
      <w:numFmt w:val="decimal"/>
      <w:pStyle w:val="110"/>
      <w:suff w:val="nothing"/>
      <w:lvlText w:val="%1%2.%3.%4.%5.%6　"/>
      <w:lvlJc w:val="left"/>
      <w:pPr>
        <w:ind w:left="0" w:firstLine="0"/>
      </w:pPr>
      <w:rPr>
        <w:rFonts w:hint="eastAsia" w:ascii="黑体" w:hAnsi="Times New Roman" w:eastAsia="黑体"/>
        <w:b w:val="0"/>
        <w:i w:val="0"/>
        <w:sz w:val="21"/>
      </w:rPr>
    </w:lvl>
    <w:lvl w:ilvl="6" w:tentative="0">
      <w:start w:val="1"/>
      <w:numFmt w:val="decimal"/>
      <w:pStyle w:val="11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AE367E9"/>
    <w:multiLevelType w:val="multilevel"/>
    <w:tmpl w:val="0AE367E9"/>
    <w:lvl w:ilvl="0" w:tentative="0">
      <w:start w:val="1"/>
      <w:numFmt w:val="none"/>
      <w:pStyle w:val="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07E65F9"/>
    <w:multiLevelType w:val="multilevel"/>
    <w:tmpl w:val="407E65F9"/>
    <w:lvl w:ilvl="0" w:tentative="0">
      <w:start w:val="1"/>
      <w:numFmt w:val="none"/>
      <w:pStyle w:val="104"/>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496E4D7B"/>
    <w:multiLevelType w:val="multilevel"/>
    <w:tmpl w:val="496E4D7B"/>
    <w:lvl w:ilvl="0" w:tentative="0">
      <w:start w:val="1"/>
      <w:numFmt w:val="none"/>
      <w:pStyle w:val="12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57C2AF5"/>
    <w:multiLevelType w:val="multilevel"/>
    <w:tmpl w:val="557C2AF5"/>
    <w:lvl w:ilvl="0" w:tentative="0">
      <w:start w:val="1"/>
      <w:numFmt w:val="decimal"/>
      <w:pStyle w:val="11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646260FA"/>
    <w:multiLevelType w:val="multilevel"/>
    <w:tmpl w:val="646260FA"/>
    <w:lvl w:ilvl="0" w:tentative="0">
      <w:start w:val="1"/>
      <w:numFmt w:val="decimal"/>
      <w:pStyle w:val="118"/>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657D3FBC"/>
    <w:multiLevelType w:val="multilevel"/>
    <w:tmpl w:val="657D3FBC"/>
    <w:lvl w:ilvl="0" w:tentative="0">
      <w:start w:val="1"/>
      <w:numFmt w:val="upperLetter"/>
      <w:pStyle w:val="100"/>
      <w:suff w:val="nothing"/>
      <w:lvlText w:val="附　录　%1"/>
      <w:lvlJc w:val="left"/>
      <w:pPr>
        <w:ind w:left="0" w:firstLine="0"/>
      </w:pPr>
      <w:rPr>
        <w:rFonts w:hint="eastAsia" w:ascii="黑体" w:hAnsi="Times New Roman" w:eastAsia="黑体"/>
        <w:b w:val="0"/>
        <w:i w:val="0"/>
        <w:sz w:val="21"/>
      </w:rPr>
    </w:lvl>
    <w:lvl w:ilvl="1" w:tentative="0">
      <w:start w:val="1"/>
      <w:numFmt w:val="decimal"/>
      <w:pStyle w:val="7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74"/>
      <w:suff w:val="nothing"/>
      <w:lvlText w:val="%1.%2.%3　"/>
      <w:lvlJc w:val="left"/>
      <w:pPr>
        <w:ind w:left="0" w:firstLine="0"/>
      </w:pPr>
      <w:rPr>
        <w:rFonts w:hint="eastAsia" w:ascii="黑体" w:hAnsi="Times New Roman" w:eastAsia="黑体"/>
        <w:b w:val="0"/>
        <w:i w:val="0"/>
        <w:sz w:val="21"/>
      </w:rPr>
    </w:lvl>
    <w:lvl w:ilvl="3" w:tentative="0">
      <w:start w:val="1"/>
      <w:numFmt w:val="decimal"/>
      <w:pStyle w:val="73"/>
      <w:suff w:val="nothing"/>
      <w:lvlText w:val="%1.%2.%3.%4　"/>
      <w:lvlJc w:val="left"/>
      <w:pPr>
        <w:ind w:left="0" w:firstLine="0"/>
      </w:pPr>
      <w:rPr>
        <w:rFonts w:hint="eastAsia" w:ascii="黑体" w:hAnsi="Times New Roman" w:eastAsia="黑体"/>
        <w:b w:val="0"/>
        <w:i w:val="0"/>
        <w:sz w:val="21"/>
      </w:rPr>
    </w:lvl>
    <w:lvl w:ilvl="4" w:tentative="0">
      <w:start w:val="1"/>
      <w:numFmt w:val="decimal"/>
      <w:pStyle w:val="72"/>
      <w:suff w:val="nothing"/>
      <w:lvlText w:val="%1.%2.%3.%4.%5　"/>
      <w:lvlJc w:val="left"/>
      <w:pPr>
        <w:ind w:left="0" w:firstLine="0"/>
      </w:pPr>
      <w:rPr>
        <w:rFonts w:hint="eastAsia" w:ascii="黑体" w:hAnsi="Times New Roman" w:eastAsia="黑体"/>
        <w:b w:val="0"/>
        <w:i w:val="0"/>
        <w:sz w:val="21"/>
      </w:rPr>
    </w:lvl>
    <w:lvl w:ilvl="5" w:tentative="0">
      <w:start w:val="1"/>
      <w:numFmt w:val="decimal"/>
      <w:pStyle w:val="71"/>
      <w:suff w:val="nothing"/>
      <w:lvlText w:val="%1.%2.%3.%4.%5.%6　"/>
      <w:lvlJc w:val="left"/>
      <w:pPr>
        <w:ind w:left="0" w:firstLine="0"/>
      </w:pPr>
      <w:rPr>
        <w:rFonts w:hint="eastAsia" w:ascii="黑体" w:hAnsi="Times New Roman" w:eastAsia="黑体"/>
        <w:b w:val="0"/>
        <w:i w:val="0"/>
        <w:sz w:val="21"/>
      </w:rPr>
    </w:lvl>
    <w:lvl w:ilvl="6" w:tentative="0">
      <w:start w:val="1"/>
      <w:numFmt w:val="decimal"/>
      <w:pStyle w:val="8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6CEA2025"/>
    <w:multiLevelType w:val="multilevel"/>
    <w:tmpl w:val="6CEA2025"/>
    <w:lvl w:ilvl="0" w:tentative="0">
      <w:start w:val="1"/>
      <w:numFmt w:val="none"/>
      <w:pStyle w:val="78"/>
      <w:suff w:val="nothing"/>
      <w:lvlText w:val="%1"/>
      <w:lvlJc w:val="left"/>
      <w:pPr>
        <w:ind w:left="0" w:firstLine="0"/>
      </w:pPr>
      <w:rPr>
        <w:rFonts w:hint="default" w:ascii="Times New Roman" w:hAnsi="Times New Roman"/>
        <w:b/>
        <w:i w:val="0"/>
        <w:sz w:val="21"/>
      </w:rPr>
    </w:lvl>
    <w:lvl w:ilvl="1" w:tentative="0">
      <w:start w:val="1"/>
      <w:numFmt w:val="decimal"/>
      <w:pStyle w:val="131"/>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134"/>
      <w:suff w:val="nothing"/>
      <w:lvlText w:val="%1%2.%3.%4　"/>
      <w:lvlJc w:val="left"/>
      <w:pPr>
        <w:ind w:left="0" w:firstLine="0"/>
      </w:pPr>
      <w:rPr>
        <w:rFonts w:hint="eastAsia" w:ascii="黑体" w:hAnsi="Times New Roman" w:eastAsia="黑体"/>
        <w:b w:val="0"/>
        <w:i w:val="0"/>
        <w:sz w:val="21"/>
      </w:rPr>
    </w:lvl>
    <w:lvl w:ilvl="4" w:tentative="0">
      <w:start w:val="1"/>
      <w:numFmt w:val="decimal"/>
      <w:pStyle w:val="80"/>
      <w:suff w:val="nothing"/>
      <w:lvlText w:val="%1%2.%3.%4.%5　"/>
      <w:lvlJc w:val="left"/>
      <w:pPr>
        <w:ind w:left="0" w:firstLine="0"/>
      </w:pPr>
      <w:rPr>
        <w:rFonts w:hint="eastAsia" w:ascii="黑体" w:hAnsi="Times New Roman" w:eastAsia="黑体"/>
        <w:b w:val="0"/>
        <w:i w:val="0"/>
        <w:sz w:val="21"/>
      </w:rPr>
    </w:lvl>
    <w:lvl w:ilvl="5" w:tentative="0">
      <w:start w:val="1"/>
      <w:numFmt w:val="decimal"/>
      <w:pStyle w:val="109"/>
      <w:suff w:val="nothing"/>
      <w:lvlText w:val="%1%2.%3.%4.%5.%6　"/>
      <w:lvlJc w:val="left"/>
      <w:pPr>
        <w:ind w:left="0" w:firstLine="0"/>
      </w:pPr>
      <w:rPr>
        <w:rFonts w:hint="eastAsia" w:ascii="黑体" w:hAnsi="Times New Roman" w:eastAsia="黑体"/>
        <w:b w:val="0"/>
        <w:i w:val="0"/>
        <w:sz w:val="21"/>
      </w:rPr>
    </w:lvl>
    <w:lvl w:ilvl="6" w:tentative="0">
      <w:start w:val="1"/>
      <w:numFmt w:val="decimal"/>
      <w:pStyle w:val="11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6DBF04F4"/>
    <w:multiLevelType w:val="multilevel"/>
    <w:tmpl w:val="6DBF04F4"/>
    <w:lvl w:ilvl="0" w:tentative="0">
      <w:start w:val="1"/>
      <w:numFmt w:val="none"/>
      <w:pStyle w:val="120"/>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6933334"/>
    <w:multiLevelType w:val="multilevel"/>
    <w:tmpl w:val="76933334"/>
    <w:lvl w:ilvl="0" w:tentative="0">
      <w:start w:val="1"/>
      <w:numFmt w:val="none"/>
      <w:pStyle w:val="10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6"/>
  </w:num>
  <w:num w:numId="4">
    <w:abstractNumId w:val="7"/>
  </w:num>
  <w:num w:numId="5">
    <w:abstractNumId w:val="9"/>
  </w:num>
  <w:num w:numId="6">
    <w:abstractNumId w:val="2"/>
  </w:num>
  <w:num w:numId="7">
    <w:abstractNumId w:val="5"/>
  </w:num>
  <w:num w:numId="8">
    <w:abstractNumId w:val="4"/>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false"/>
  <w:bordersDoNotSurroundFooter w:val="false"/>
  <w:trackRevisions w:val="true"/>
  <w:documentProtection w:enforcement="0"/>
  <w:defaultTabStop w:val="420"/>
  <w:drawingGridHorizontalSpacing w:val="96"/>
  <w:drawingGridVerticalSpacing w:val="156"/>
  <w:displayHorizontalDrawingGridEvery w:val="1"/>
  <w:displayVerticalDrawingGridEvery w:val="1"/>
  <w:noPunctuationKerning w:val="true"/>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0600"/>
    <w:rsid w:val="00001AD5"/>
    <w:rsid w:val="00003491"/>
    <w:rsid w:val="000037D2"/>
    <w:rsid w:val="000065A1"/>
    <w:rsid w:val="00012C67"/>
    <w:rsid w:val="00014276"/>
    <w:rsid w:val="00015100"/>
    <w:rsid w:val="00020D33"/>
    <w:rsid w:val="00021C6E"/>
    <w:rsid w:val="00022D05"/>
    <w:rsid w:val="00023A0F"/>
    <w:rsid w:val="0002669E"/>
    <w:rsid w:val="00027415"/>
    <w:rsid w:val="000449B0"/>
    <w:rsid w:val="00047546"/>
    <w:rsid w:val="000501FC"/>
    <w:rsid w:val="000555F5"/>
    <w:rsid w:val="00056034"/>
    <w:rsid w:val="00060C30"/>
    <w:rsid w:val="0006511B"/>
    <w:rsid w:val="00066DF5"/>
    <w:rsid w:val="00067912"/>
    <w:rsid w:val="00072C62"/>
    <w:rsid w:val="00076838"/>
    <w:rsid w:val="00076FE5"/>
    <w:rsid w:val="000913AA"/>
    <w:rsid w:val="00091710"/>
    <w:rsid w:val="00091BBF"/>
    <w:rsid w:val="00095480"/>
    <w:rsid w:val="000A1245"/>
    <w:rsid w:val="000A1780"/>
    <w:rsid w:val="000A408A"/>
    <w:rsid w:val="000A5135"/>
    <w:rsid w:val="000A6CE1"/>
    <w:rsid w:val="000A702B"/>
    <w:rsid w:val="000B15F1"/>
    <w:rsid w:val="000B3B53"/>
    <w:rsid w:val="000C795D"/>
    <w:rsid w:val="000C7D1E"/>
    <w:rsid w:val="000D0D61"/>
    <w:rsid w:val="000D11AC"/>
    <w:rsid w:val="000D14F2"/>
    <w:rsid w:val="000D5EB5"/>
    <w:rsid w:val="000D6845"/>
    <w:rsid w:val="000E0F71"/>
    <w:rsid w:val="000E1472"/>
    <w:rsid w:val="000E5568"/>
    <w:rsid w:val="000F0490"/>
    <w:rsid w:val="000F1C53"/>
    <w:rsid w:val="000F234E"/>
    <w:rsid w:val="000F3D81"/>
    <w:rsid w:val="000F788D"/>
    <w:rsid w:val="00100BB8"/>
    <w:rsid w:val="00101C16"/>
    <w:rsid w:val="00104AC8"/>
    <w:rsid w:val="00105177"/>
    <w:rsid w:val="00105B9F"/>
    <w:rsid w:val="00107566"/>
    <w:rsid w:val="0011003E"/>
    <w:rsid w:val="00111A00"/>
    <w:rsid w:val="00114105"/>
    <w:rsid w:val="00115CB3"/>
    <w:rsid w:val="001206FE"/>
    <w:rsid w:val="00121083"/>
    <w:rsid w:val="00122F0F"/>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D2E"/>
    <w:rsid w:val="00172A27"/>
    <w:rsid w:val="00173798"/>
    <w:rsid w:val="00173E8B"/>
    <w:rsid w:val="00174E25"/>
    <w:rsid w:val="00176EB9"/>
    <w:rsid w:val="001828C2"/>
    <w:rsid w:val="001903A2"/>
    <w:rsid w:val="00195AED"/>
    <w:rsid w:val="001970C8"/>
    <w:rsid w:val="00197999"/>
    <w:rsid w:val="001A0134"/>
    <w:rsid w:val="001A168A"/>
    <w:rsid w:val="001B17CC"/>
    <w:rsid w:val="001B3EB1"/>
    <w:rsid w:val="001B7439"/>
    <w:rsid w:val="001C0680"/>
    <w:rsid w:val="001C0B8E"/>
    <w:rsid w:val="001C384F"/>
    <w:rsid w:val="001C7ACD"/>
    <w:rsid w:val="001D2338"/>
    <w:rsid w:val="001D717A"/>
    <w:rsid w:val="001E37A6"/>
    <w:rsid w:val="001E6600"/>
    <w:rsid w:val="001F162E"/>
    <w:rsid w:val="001F46BE"/>
    <w:rsid w:val="001F6DDE"/>
    <w:rsid w:val="001F7A0C"/>
    <w:rsid w:val="002045D5"/>
    <w:rsid w:val="0020499A"/>
    <w:rsid w:val="0020534B"/>
    <w:rsid w:val="00213480"/>
    <w:rsid w:val="002139D7"/>
    <w:rsid w:val="002146D1"/>
    <w:rsid w:val="00214AD8"/>
    <w:rsid w:val="00215982"/>
    <w:rsid w:val="00216A3B"/>
    <w:rsid w:val="00221686"/>
    <w:rsid w:val="00222AC5"/>
    <w:rsid w:val="00225EC8"/>
    <w:rsid w:val="00232FD3"/>
    <w:rsid w:val="00234591"/>
    <w:rsid w:val="00234D6C"/>
    <w:rsid w:val="00243D10"/>
    <w:rsid w:val="00245229"/>
    <w:rsid w:val="00245893"/>
    <w:rsid w:val="00246E3B"/>
    <w:rsid w:val="00247988"/>
    <w:rsid w:val="00250799"/>
    <w:rsid w:val="00251D4A"/>
    <w:rsid w:val="002526E1"/>
    <w:rsid w:val="00257071"/>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C1971"/>
    <w:rsid w:val="002C2941"/>
    <w:rsid w:val="002C5CE4"/>
    <w:rsid w:val="002D02E7"/>
    <w:rsid w:val="002D20F2"/>
    <w:rsid w:val="002D5E7E"/>
    <w:rsid w:val="002D67E2"/>
    <w:rsid w:val="002D6ED0"/>
    <w:rsid w:val="002E1947"/>
    <w:rsid w:val="002E28C5"/>
    <w:rsid w:val="002E35BF"/>
    <w:rsid w:val="002F0DE6"/>
    <w:rsid w:val="002F45EE"/>
    <w:rsid w:val="002F4B74"/>
    <w:rsid w:val="0030073B"/>
    <w:rsid w:val="00305AC4"/>
    <w:rsid w:val="00306CBC"/>
    <w:rsid w:val="003073C7"/>
    <w:rsid w:val="00312A0F"/>
    <w:rsid w:val="00312A4B"/>
    <w:rsid w:val="003131D2"/>
    <w:rsid w:val="00313385"/>
    <w:rsid w:val="00314FAB"/>
    <w:rsid w:val="00321005"/>
    <w:rsid w:val="003227D7"/>
    <w:rsid w:val="0032534D"/>
    <w:rsid w:val="00326368"/>
    <w:rsid w:val="003279F1"/>
    <w:rsid w:val="003346EE"/>
    <w:rsid w:val="0033484C"/>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827ED"/>
    <w:rsid w:val="00384733"/>
    <w:rsid w:val="00385748"/>
    <w:rsid w:val="00386047"/>
    <w:rsid w:val="003863F3"/>
    <w:rsid w:val="0039611D"/>
    <w:rsid w:val="00397098"/>
    <w:rsid w:val="00397D76"/>
    <w:rsid w:val="003A39B9"/>
    <w:rsid w:val="003A5BC3"/>
    <w:rsid w:val="003A6A58"/>
    <w:rsid w:val="003B2404"/>
    <w:rsid w:val="003B3287"/>
    <w:rsid w:val="003B39C8"/>
    <w:rsid w:val="003B42E9"/>
    <w:rsid w:val="003B4BA1"/>
    <w:rsid w:val="003C19CA"/>
    <w:rsid w:val="003C31BD"/>
    <w:rsid w:val="003C49BC"/>
    <w:rsid w:val="003C5970"/>
    <w:rsid w:val="003C5AC1"/>
    <w:rsid w:val="003D1718"/>
    <w:rsid w:val="003D4B7D"/>
    <w:rsid w:val="003D4CCE"/>
    <w:rsid w:val="003D599A"/>
    <w:rsid w:val="003D5A36"/>
    <w:rsid w:val="003E5D78"/>
    <w:rsid w:val="003E6942"/>
    <w:rsid w:val="003E7769"/>
    <w:rsid w:val="003E7BC0"/>
    <w:rsid w:val="003F3CC1"/>
    <w:rsid w:val="00401712"/>
    <w:rsid w:val="00403580"/>
    <w:rsid w:val="004056C2"/>
    <w:rsid w:val="00406723"/>
    <w:rsid w:val="004079C8"/>
    <w:rsid w:val="004135E4"/>
    <w:rsid w:val="0042117C"/>
    <w:rsid w:val="0042404B"/>
    <w:rsid w:val="0043582D"/>
    <w:rsid w:val="00436CEC"/>
    <w:rsid w:val="00437DF0"/>
    <w:rsid w:val="004422EA"/>
    <w:rsid w:val="00443250"/>
    <w:rsid w:val="004506A0"/>
    <w:rsid w:val="00456308"/>
    <w:rsid w:val="00456AB0"/>
    <w:rsid w:val="00463DF6"/>
    <w:rsid w:val="00467A0C"/>
    <w:rsid w:val="0047255A"/>
    <w:rsid w:val="0047426C"/>
    <w:rsid w:val="0047467F"/>
    <w:rsid w:val="00476640"/>
    <w:rsid w:val="004821FE"/>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70B5"/>
    <w:rsid w:val="004D5E39"/>
    <w:rsid w:val="004D6095"/>
    <w:rsid w:val="004D6444"/>
    <w:rsid w:val="004D7338"/>
    <w:rsid w:val="004E40CE"/>
    <w:rsid w:val="004F05BF"/>
    <w:rsid w:val="004F5D98"/>
    <w:rsid w:val="004F642A"/>
    <w:rsid w:val="00505DB1"/>
    <w:rsid w:val="00506F87"/>
    <w:rsid w:val="00507B92"/>
    <w:rsid w:val="00510BC3"/>
    <w:rsid w:val="00512A9D"/>
    <w:rsid w:val="005135AC"/>
    <w:rsid w:val="005176CC"/>
    <w:rsid w:val="00544603"/>
    <w:rsid w:val="005454CE"/>
    <w:rsid w:val="0055147E"/>
    <w:rsid w:val="005548F8"/>
    <w:rsid w:val="00555303"/>
    <w:rsid w:val="00557671"/>
    <w:rsid w:val="005647B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785A"/>
    <w:rsid w:val="005B0C1C"/>
    <w:rsid w:val="005B2144"/>
    <w:rsid w:val="005B2F38"/>
    <w:rsid w:val="005B2FD0"/>
    <w:rsid w:val="005B4EFD"/>
    <w:rsid w:val="005B7535"/>
    <w:rsid w:val="005C0DE9"/>
    <w:rsid w:val="005C53B1"/>
    <w:rsid w:val="005C5985"/>
    <w:rsid w:val="005C5B5A"/>
    <w:rsid w:val="005C67C9"/>
    <w:rsid w:val="005C7441"/>
    <w:rsid w:val="005D32C5"/>
    <w:rsid w:val="005E0C0B"/>
    <w:rsid w:val="005E128E"/>
    <w:rsid w:val="005E2069"/>
    <w:rsid w:val="005E51A3"/>
    <w:rsid w:val="005E65B3"/>
    <w:rsid w:val="005E750F"/>
    <w:rsid w:val="005E77FA"/>
    <w:rsid w:val="005F05C9"/>
    <w:rsid w:val="005F3142"/>
    <w:rsid w:val="005F3175"/>
    <w:rsid w:val="005F4E57"/>
    <w:rsid w:val="005F5C81"/>
    <w:rsid w:val="005F68C4"/>
    <w:rsid w:val="005F6AE2"/>
    <w:rsid w:val="005F7888"/>
    <w:rsid w:val="0060176C"/>
    <w:rsid w:val="00607E57"/>
    <w:rsid w:val="00613BB2"/>
    <w:rsid w:val="0061433E"/>
    <w:rsid w:val="00620635"/>
    <w:rsid w:val="00623DF3"/>
    <w:rsid w:val="00630A22"/>
    <w:rsid w:val="006313C2"/>
    <w:rsid w:val="0063419D"/>
    <w:rsid w:val="006350A9"/>
    <w:rsid w:val="00635D61"/>
    <w:rsid w:val="00641B49"/>
    <w:rsid w:val="00642188"/>
    <w:rsid w:val="006429BD"/>
    <w:rsid w:val="00644DB7"/>
    <w:rsid w:val="00647235"/>
    <w:rsid w:val="00650490"/>
    <w:rsid w:val="00652828"/>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60D7"/>
    <w:rsid w:val="00686B9D"/>
    <w:rsid w:val="006903B2"/>
    <w:rsid w:val="00691C85"/>
    <w:rsid w:val="00692E9D"/>
    <w:rsid w:val="00693010"/>
    <w:rsid w:val="0069459D"/>
    <w:rsid w:val="00694984"/>
    <w:rsid w:val="006A03B7"/>
    <w:rsid w:val="006A667F"/>
    <w:rsid w:val="006B1DD6"/>
    <w:rsid w:val="006B35CD"/>
    <w:rsid w:val="006B44C8"/>
    <w:rsid w:val="006C2FDA"/>
    <w:rsid w:val="006C3803"/>
    <w:rsid w:val="006C7A34"/>
    <w:rsid w:val="006D0147"/>
    <w:rsid w:val="006D2EC0"/>
    <w:rsid w:val="006D45A2"/>
    <w:rsid w:val="006E2E08"/>
    <w:rsid w:val="006E5264"/>
    <w:rsid w:val="006E7099"/>
    <w:rsid w:val="006F1EFE"/>
    <w:rsid w:val="006F2C6B"/>
    <w:rsid w:val="006F3306"/>
    <w:rsid w:val="007008F7"/>
    <w:rsid w:val="00702FA1"/>
    <w:rsid w:val="00703861"/>
    <w:rsid w:val="00704585"/>
    <w:rsid w:val="00706E5C"/>
    <w:rsid w:val="0070711B"/>
    <w:rsid w:val="007074BB"/>
    <w:rsid w:val="00707920"/>
    <w:rsid w:val="00712D66"/>
    <w:rsid w:val="00713ADE"/>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36B"/>
    <w:rsid w:val="00753E95"/>
    <w:rsid w:val="00757041"/>
    <w:rsid w:val="00760D8C"/>
    <w:rsid w:val="007701D5"/>
    <w:rsid w:val="00770A66"/>
    <w:rsid w:val="00772F48"/>
    <w:rsid w:val="00775B4F"/>
    <w:rsid w:val="007853F1"/>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806C4E"/>
    <w:rsid w:val="008112B3"/>
    <w:rsid w:val="0081331C"/>
    <w:rsid w:val="00814A2C"/>
    <w:rsid w:val="00816166"/>
    <w:rsid w:val="00821333"/>
    <w:rsid w:val="008213C1"/>
    <w:rsid w:val="00823F72"/>
    <w:rsid w:val="00830115"/>
    <w:rsid w:val="008312E3"/>
    <w:rsid w:val="008349DA"/>
    <w:rsid w:val="00835E18"/>
    <w:rsid w:val="00836606"/>
    <w:rsid w:val="008368D7"/>
    <w:rsid w:val="008576BB"/>
    <w:rsid w:val="00860484"/>
    <w:rsid w:val="008606CA"/>
    <w:rsid w:val="0086131B"/>
    <w:rsid w:val="00862C03"/>
    <w:rsid w:val="00864671"/>
    <w:rsid w:val="00870079"/>
    <w:rsid w:val="008829BA"/>
    <w:rsid w:val="00890A40"/>
    <w:rsid w:val="0089568E"/>
    <w:rsid w:val="008A05A5"/>
    <w:rsid w:val="008A2AC2"/>
    <w:rsid w:val="008A42B0"/>
    <w:rsid w:val="008A4BA9"/>
    <w:rsid w:val="008A7D25"/>
    <w:rsid w:val="008B08E1"/>
    <w:rsid w:val="008B1729"/>
    <w:rsid w:val="008B3FEA"/>
    <w:rsid w:val="008C17B4"/>
    <w:rsid w:val="008C2785"/>
    <w:rsid w:val="008C2B53"/>
    <w:rsid w:val="008C3B14"/>
    <w:rsid w:val="008D16DF"/>
    <w:rsid w:val="008D2AC9"/>
    <w:rsid w:val="008D4D60"/>
    <w:rsid w:val="008D4F47"/>
    <w:rsid w:val="008E3432"/>
    <w:rsid w:val="008E4175"/>
    <w:rsid w:val="008F2F65"/>
    <w:rsid w:val="008F69A1"/>
    <w:rsid w:val="009007FD"/>
    <w:rsid w:val="00902749"/>
    <w:rsid w:val="0091240F"/>
    <w:rsid w:val="00913151"/>
    <w:rsid w:val="00916797"/>
    <w:rsid w:val="0092011B"/>
    <w:rsid w:val="00921F24"/>
    <w:rsid w:val="00931D59"/>
    <w:rsid w:val="00932B37"/>
    <w:rsid w:val="00937021"/>
    <w:rsid w:val="00946E0B"/>
    <w:rsid w:val="00947E40"/>
    <w:rsid w:val="00950369"/>
    <w:rsid w:val="00950992"/>
    <w:rsid w:val="00952DB9"/>
    <w:rsid w:val="00955419"/>
    <w:rsid w:val="009578C9"/>
    <w:rsid w:val="0096041E"/>
    <w:rsid w:val="00960557"/>
    <w:rsid w:val="00966B76"/>
    <w:rsid w:val="00971125"/>
    <w:rsid w:val="009732CB"/>
    <w:rsid w:val="00980150"/>
    <w:rsid w:val="00980B5A"/>
    <w:rsid w:val="00982752"/>
    <w:rsid w:val="00984CFD"/>
    <w:rsid w:val="0098544E"/>
    <w:rsid w:val="00985CDC"/>
    <w:rsid w:val="009865BB"/>
    <w:rsid w:val="009871AC"/>
    <w:rsid w:val="00991894"/>
    <w:rsid w:val="009967E7"/>
    <w:rsid w:val="009A0CB2"/>
    <w:rsid w:val="009A25F3"/>
    <w:rsid w:val="009A53E0"/>
    <w:rsid w:val="009B5C44"/>
    <w:rsid w:val="009B5C5B"/>
    <w:rsid w:val="009B72F4"/>
    <w:rsid w:val="009C0D8D"/>
    <w:rsid w:val="009C14D0"/>
    <w:rsid w:val="009C5AD1"/>
    <w:rsid w:val="009C75E1"/>
    <w:rsid w:val="009D11D2"/>
    <w:rsid w:val="009D2A0F"/>
    <w:rsid w:val="009D79EC"/>
    <w:rsid w:val="009D79F8"/>
    <w:rsid w:val="009E5D07"/>
    <w:rsid w:val="009F1D4E"/>
    <w:rsid w:val="009F4176"/>
    <w:rsid w:val="009F4DB5"/>
    <w:rsid w:val="009F7B82"/>
    <w:rsid w:val="00A00ECF"/>
    <w:rsid w:val="00A03BC6"/>
    <w:rsid w:val="00A03DFB"/>
    <w:rsid w:val="00A0482F"/>
    <w:rsid w:val="00A0766F"/>
    <w:rsid w:val="00A0793E"/>
    <w:rsid w:val="00A11715"/>
    <w:rsid w:val="00A17DD9"/>
    <w:rsid w:val="00A202BB"/>
    <w:rsid w:val="00A23B2D"/>
    <w:rsid w:val="00A26173"/>
    <w:rsid w:val="00A26F01"/>
    <w:rsid w:val="00A2765F"/>
    <w:rsid w:val="00A31843"/>
    <w:rsid w:val="00A3321F"/>
    <w:rsid w:val="00A351FE"/>
    <w:rsid w:val="00A40B87"/>
    <w:rsid w:val="00A41592"/>
    <w:rsid w:val="00A45456"/>
    <w:rsid w:val="00A5121B"/>
    <w:rsid w:val="00A57333"/>
    <w:rsid w:val="00A66073"/>
    <w:rsid w:val="00A66A91"/>
    <w:rsid w:val="00A67094"/>
    <w:rsid w:val="00A729BC"/>
    <w:rsid w:val="00A732EB"/>
    <w:rsid w:val="00A74A2A"/>
    <w:rsid w:val="00A75282"/>
    <w:rsid w:val="00A7649C"/>
    <w:rsid w:val="00A8473F"/>
    <w:rsid w:val="00A85A99"/>
    <w:rsid w:val="00A875F1"/>
    <w:rsid w:val="00A94D4B"/>
    <w:rsid w:val="00AA0E91"/>
    <w:rsid w:val="00AA111F"/>
    <w:rsid w:val="00AA35BE"/>
    <w:rsid w:val="00AA532B"/>
    <w:rsid w:val="00AA6F75"/>
    <w:rsid w:val="00AB1DA6"/>
    <w:rsid w:val="00AB27AB"/>
    <w:rsid w:val="00AB3389"/>
    <w:rsid w:val="00AB562D"/>
    <w:rsid w:val="00AB65AE"/>
    <w:rsid w:val="00AC1DDC"/>
    <w:rsid w:val="00AC2474"/>
    <w:rsid w:val="00AC3354"/>
    <w:rsid w:val="00AC345E"/>
    <w:rsid w:val="00AC3EBE"/>
    <w:rsid w:val="00AD1B0F"/>
    <w:rsid w:val="00AD54CD"/>
    <w:rsid w:val="00AD74AF"/>
    <w:rsid w:val="00AE0F34"/>
    <w:rsid w:val="00AE16B5"/>
    <w:rsid w:val="00AE28EE"/>
    <w:rsid w:val="00AE3CDA"/>
    <w:rsid w:val="00AF5980"/>
    <w:rsid w:val="00B00650"/>
    <w:rsid w:val="00B011AE"/>
    <w:rsid w:val="00B01C80"/>
    <w:rsid w:val="00B03F22"/>
    <w:rsid w:val="00B07AFA"/>
    <w:rsid w:val="00B12D8B"/>
    <w:rsid w:val="00B144E7"/>
    <w:rsid w:val="00B171AA"/>
    <w:rsid w:val="00B17614"/>
    <w:rsid w:val="00B202ED"/>
    <w:rsid w:val="00B26562"/>
    <w:rsid w:val="00B34AE4"/>
    <w:rsid w:val="00B431B4"/>
    <w:rsid w:val="00B50FE1"/>
    <w:rsid w:val="00B55F70"/>
    <w:rsid w:val="00B6468A"/>
    <w:rsid w:val="00B71489"/>
    <w:rsid w:val="00B71814"/>
    <w:rsid w:val="00B71AF0"/>
    <w:rsid w:val="00B7391C"/>
    <w:rsid w:val="00B75FA3"/>
    <w:rsid w:val="00B76A83"/>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3400E"/>
    <w:rsid w:val="00C379B0"/>
    <w:rsid w:val="00C423AB"/>
    <w:rsid w:val="00C44773"/>
    <w:rsid w:val="00C47468"/>
    <w:rsid w:val="00C57649"/>
    <w:rsid w:val="00C57935"/>
    <w:rsid w:val="00C62584"/>
    <w:rsid w:val="00C62E89"/>
    <w:rsid w:val="00C66B8A"/>
    <w:rsid w:val="00C7321F"/>
    <w:rsid w:val="00C74CC2"/>
    <w:rsid w:val="00C825BE"/>
    <w:rsid w:val="00C82C13"/>
    <w:rsid w:val="00C82C8F"/>
    <w:rsid w:val="00C83F73"/>
    <w:rsid w:val="00C87518"/>
    <w:rsid w:val="00C901D0"/>
    <w:rsid w:val="00C93843"/>
    <w:rsid w:val="00C9486F"/>
    <w:rsid w:val="00C9594F"/>
    <w:rsid w:val="00CA1E44"/>
    <w:rsid w:val="00CA2B85"/>
    <w:rsid w:val="00CA2CA2"/>
    <w:rsid w:val="00CA4C3F"/>
    <w:rsid w:val="00CA76CA"/>
    <w:rsid w:val="00CB38D0"/>
    <w:rsid w:val="00CB546A"/>
    <w:rsid w:val="00CB7B2D"/>
    <w:rsid w:val="00CC1B76"/>
    <w:rsid w:val="00CC3027"/>
    <w:rsid w:val="00CC40B9"/>
    <w:rsid w:val="00CC4188"/>
    <w:rsid w:val="00CD1F0A"/>
    <w:rsid w:val="00CE0C7C"/>
    <w:rsid w:val="00CE62C5"/>
    <w:rsid w:val="00CF0654"/>
    <w:rsid w:val="00CF13C8"/>
    <w:rsid w:val="00CF1D17"/>
    <w:rsid w:val="00CF43B4"/>
    <w:rsid w:val="00CF5B07"/>
    <w:rsid w:val="00D00303"/>
    <w:rsid w:val="00D025CF"/>
    <w:rsid w:val="00D02803"/>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DB"/>
    <w:rsid w:val="00D736E9"/>
    <w:rsid w:val="00D809FC"/>
    <w:rsid w:val="00D81A38"/>
    <w:rsid w:val="00D82BEE"/>
    <w:rsid w:val="00D83490"/>
    <w:rsid w:val="00D83750"/>
    <w:rsid w:val="00D859CC"/>
    <w:rsid w:val="00D9658E"/>
    <w:rsid w:val="00D9774E"/>
    <w:rsid w:val="00DA4E9F"/>
    <w:rsid w:val="00DA6E81"/>
    <w:rsid w:val="00DA740E"/>
    <w:rsid w:val="00DB0326"/>
    <w:rsid w:val="00DB6502"/>
    <w:rsid w:val="00DC02CF"/>
    <w:rsid w:val="00DC0718"/>
    <w:rsid w:val="00DC12FB"/>
    <w:rsid w:val="00DC1C68"/>
    <w:rsid w:val="00DC4DDA"/>
    <w:rsid w:val="00DC5A69"/>
    <w:rsid w:val="00DC77F9"/>
    <w:rsid w:val="00DC7F34"/>
    <w:rsid w:val="00DD1709"/>
    <w:rsid w:val="00DD709C"/>
    <w:rsid w:val="00DE72D4"/>
    <w:rsid w:val="00DE744A"/>
    <w:rsid w:val="00DE752F"/>
    <w:rsid w:val="00DF19C6"/>
    <w:rsid w:val="00DF6D9D"/>
    <w:rsid w:val="00E00255"/>
    <w:rsid w:val="00E00499"/>
    <w:rsid w:val="00E070CD"/>
    <w:rsid w:val="00E14A4D"/>
    <w:rsid w:val="00E15F18"/>
    <w:rsid w:val="00E20269"/>
    <w:rsid w:val="00E22538"/>
    <w:rsid w:val="00E23439"/>
    <w:rsid w:val="00E274B2"/>
    <w:rsid w:val="00E32062"/>
    <w:rsid w:val="00E32410"/>
    <w:rsid w:val="00E37E8C"/>
    <w:rsid w:val="00E43665"/>
    <w:rsid w:val="00E45B17"/>
    <w:rsid w:val="00E50C2D"/>
    <w:rsid w:val="00E5213F"/>
    <w:rsid w:val="00E52B0B"/>
    <w:rsid w:val="00E558A1"/>
    <w:rsid w:val="00E56778"/>
    <w:rsid w:val="00E6220A"/>
    <w:rsid w:val="00E62633"/>
    <w:rsid w:val="00E633DC"/>
    <w:rsid w:val="00E64F40"/>
    <w:rsid w:val="00E6672A"/>
    <w:rsid w:val="00E67693"/>
    <w:rsid w:val="00E67C2A"/>
    <w:rsid w:val="00E7002D"/>
    <w:rsid w:val="00E7432B"/>
    <w:rsid w:val="00E77911"/>
    <w:rsid w:val="00E80790"/>
    <w:rsid w:val="00E829B8"/>
    <w:rsid w:val="00E83E4A"/>
    <w:rsid w:val="00E863F9"/>
    <w:rsid w:val="00E8795F"/>
    <w:rsid w:val="00E95C9D"/>
    <w:rsid w:val="00EA0E4F"/>
    <w:rsid w:val="00EA1D86"/>
    <w:rsid w:val="00EA2643"/>
    <w:rsid w:val="00EA34DC"/>
    <w:rsid w:val="00EB2330"/>
    <w:rsid w:val="00EB2A9B"/>
    <w:rsid w:val="00EB2B63"/>
    <w:rsid w:val="00EB2D52"/>
    <w:rsid w:val="00EB3310"/>
    <w:rsid w:val="00EB3B4E"/>
    <w:rsid w:val="00EB480A"/>
    <w:rsid w:val="00EC027E"/>
    <w:rsid w:val="00EC3779"/>
    <w:rsid w:val="00EC40F8"/>
    <w:rsid w:val="00EC4D23"/>
    <w:rsid w:val="00ED653F"/>
    <w:rsid w:val="00EE2AA0"/>
    <w:rsid w:val="00EE69FC"/>
    <w:rsid w:val="00EF2837"/>
    <w:rsid w:val="00EF5C8D"/>
    <w:rsid w:val="00EF6C8E"/>
    <w:rsid w:val="00F0038C"/>
    <w:rsid w:val="00F011F1"/>
    <w:rsid w:val="00F041E2"/>
    <w:rsid w:val="00F0631D"/>
    <w:rsid w:val="00F11009"/>
    <w:rsid w:val="00F1723C"/>
    <w:rsid w:val="00F20F76"/>
    <w:rsid w:val="00F210E3"/>
    <w:rsid w:val="00F25A17"/>
    <w:rsid w:val="00F26619"/>
    <w:rsid w:val="00F2755C"/>
    <w:rsid w:val="00F3670F"/>
    <w:rsid w:val="00F37D49"/>
    <w:rsid w:val="00F40D68"/>
    <w:rsid w:val="00F43117"/>
    <w:rsid w:val="00F43420"/>
    <w:rsid w:val="00F44D9A"/>
    <w:rsid w:val="00F509B4"/>
    <w:rsid w:val="00F67109"/>
    <w:rsid w:val="00F7218E"/>
    <w:rsid w:val="00F727D1"/>
    <w:rsid w:val="00F742BF"/>
    <w:rsid w:val="00F80D2C"/>
    <w:rsid w:val="00F82248"/>
    <w:rsid w:val="00F82D02"/>
    <w:rsid w:val="00F83528"/>
    <w:rsid w:val="00F86934"/>
    <w:rsid w:val="00F9085C"/>
    <w:rsid w:val="00F90D10"/>
    <w:rsid w:val="00F912C1"/>
    <w:rsid w:val="00F913B3"/>
    <w:rsid w:val="00F95304"/>
    <w:rsid w:val="00F96806"/>
    <w:rsid w:val="00FA73BB"/>
    <w:rsid w:val="00FA7BCF"/>
    <w:rsid w:val="00FB33BE"/>
    <w:rsid w:val="00FB51F2"/>
    <w:rsid w:val="00FB5793"/>
    <w:rsid w:val="00FC560A"/>
    <w:rsid w:val="00FC61A2"/>
    <w:rsid w:val="00FD23D5"/>
    <w:rsid w:val="00FD4385"/>
    <w:rsid w:val="00FE2FC2"/>
    <w:rsid w:val="00FE4A2A"/>
    <w:rsid w:val="00FE4D37"/>
    <w:rsid w:val="00FF4AB5"/>
    <w:rsid w:val="00FF532F"/>
    <w:rsid w:val="00FF53D3"/>
    <w:rsid w:val="00FF6184"/>
    <w:rsid w:val="00FF7901"/>
    <w:rsid w:val="03A714A6"/>
    <w:rsid w:val="03FD5967"/>
    <w:rsid w:val="04C8213D"/>
    <w:rsid w:val="04E35DC0"/>
    <w:rsid w:val="05F035F0"/>
    <w:rsid w:val="06F975B0"/>
    <w:rsid w:val="07DB3BFF"/>
    <w:rsid w:val="0D531611"/>
    <w:rsid w:val="12336B6B"/>
    <w:rsid w:val="14255524"/>
    <w:rsid w:val="16954872"/>
    <w:rsid w:val="1ECA3D89"/>
    <w:rsid w:val="28406118"/>
    <w:rsid w:val="29167C98"/>
    <w:rsid w:val="297A560F"/>
    <w:rsid w:val="2A8A37F8"/>
    <w:rsid w:val="2B144428"/>
    <w:rsid w:val="2CEA38C5"/>
    <w:rsid w:val="3241706E"/>
    <w:rsid w:val="35EB6DD3"/>
    <w:rsid w:val="36DF6106"/>
    <w:rsid w:val="377E79E0"/>
    <w:rsid w:val="37FA67F4"/>
    <w:rsid w:val="39496376"/>
    <w:rsid w:val="41F069A7"/>
    <w:rsid w:val="42560EC2"/>
    <w:rsid w:val="43716E43"/>
    <w:rsid w:val="47AC0D06"/>
    <w:rsid w:val="4CC53B18"/>
    <w:rsid w:val="50152A21"/>
    <w:rsid w:val="56A37B8A"/>
    <w:rsid w:val="618B730C"/>
    <w:rsid w:val="651575EE"/>
    <w:rsid w:val="653A620F"/>
    <w:rsid w:val="67B8460E"/>
    <w:rsid w:val="6B143644"/>
    <w:rsid w:val="6DD8450A"/>
    <w:rsid w:val="6DF31860"/>
    <w:rsid w:val="71525805"/>
    <w:rsid w:val="740372A8"/>
    <w:rsid w:val="74ED4DD3"/>
    <w:rsid w:val="75845AEB"/>
    <w:rsid w:val="773D428F"/>
    <w:rsid w:val="7A002FF4"/>
    <w:rsid w:val="7A3248E3"/>
    <w:rsid w:val="7D127081"/>
    <w:rsid w:val="7D161F94"/>
    <w:rsid w:val="7EBD11E9"/>
    <w:rsid w:val="F6FF84E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2"/>
    <w:next w:val="1"/>
    <w:semiHidden/>
    <w:qFormat/>
    <w:uiPriority w:val="0"/>
  </w:style>
  <w:style w:type="paragraph" w:styleId="12">
    <w:name w:val="toc 6"/>
    <w:basedOn w:val="13"/>
    <w:next w:val="1"/>
    <w:semiHidden/>
    <w:qFormat/>
    <w:uiPriority w:val="0"/>
  </w:style>
  <w:style w:type="paragraph" w:styleId="13">
    <w:name w:val="toc 5"/>
    <w:basedOn w:val="14"/>
    <w:next w:val="1"/>
    <w:semiHidden/>
    <w:qFormat/>
    <w:uiPriority w:val="0"/>
  </w:style>
  <w:style w:type="paragraph" w:styleId="14">
    <w:name w:val="toc 4"/>
    <w:basedOn w:val="15"/>
    <w:next w:val="1"/>
    <w:semiHidden/>
    <w:qFormat/>
    <w:uiPriority w:val="0"/>
  </w:style>
  <w:style w:type="paragraph" w:styleId="15">
    <w:name w:val="toc 3"/>
    <w:basedOn w:val="16"/>
    <w:next w:val="1"/>
    <w:semiHidden/>
    <w:qFormat/>
    <w:uiPriority w:val="0"/>
  </w:style>
  <w:style w:type="paragraph" w:styleId="16">
    <w:name w:val="toc 2"/>
    <w:basedOn w:val="17"/>
    <w:next w:val="1"/>
    <w:semiHidden/>
    <w:qFormat/>
    <w:uiPriority w:val="0"/>
  </w:style>
  <w:style w:type="paragraph" w:styleId="17">
    <w:name w:val="toc 1"/>
    <w:next w:val="1"/>
    <w:semiHidden/>
    <w:qFormat/>
    <w:uiPriority w:val="0"/>
    <w:pPr>
      <w:jc w:val="both"/>
    </w:pPr>
    <w:rPr>
      <w:rFonts w:ascii="宋体" w:hAnsi="Times New Roman" w:eastAsia="宋体" w:cs="Times New Roman"/>
      <w:sz w:val="21"/>
      <w:lang w:val="en-US" w:eastAsia="zh-CN" w:bidi="ar-SA"/>
    </w:rPr>
  </w:style>
  <w:style w:type="paragraph" w:styleId="18">
    <w:name w:val="Normal Indent"/>
    <w:basedOn w:val="1"/>
    <w:qFormat/>
    <w:uiPriority w:val="0"/>
    <w:pPr>
      <w:ind w:firstLine="420"/>
    </w:pPr>
  </w:style>
  <w:style w:type="paragraph" w:styleId="19">
    <w:name w:val="Document Map"/>
    <w:basedOn w:val="1"/>
    <w:semiHidden/>
    <w:qFormat/>
    <w:uiPriority w:val="0"/>
    <w:pPr>
      <w:shd w:val="clear" w:color="auto" w:fill="000080"/>
    </w:pPr>
  </w:style>
  <w:style w:type="paragraph" w:styleId="20">
    <w:name w:val="toa heading"/>
    <w:basedOn w:val="1"/>
    <w:next w:val="1"/>
    <w:semiHidden/>
    <w:qFormat/>
    <w:uiPriority w:val="0"/>
    <w:pPr>
      <w:widowControl/>
      <w:tabs>
        <w:tab w:val="left" w:pos="720"/>
      </w:tabs>
    </w:pPr>
    <w:rPr>
      <w:b/>
      <w:kern w:val="0"/>
      <w:sz w:val="22"/>
    </w:rPr>
  </w:style>
  <w:style w:type="paragraph" w:styleId="21">
    <w:name w:val="annotation text"/>
    <w:basedOn w:val="1"/>
    <w:link w:val="128"/>
    <w:semiHidden/>
    <w:qFormat/>
    <w:uiPriority w:val="0"/>
    <w:pPr>
      <w:jc w:val="left"/>
    </w:pPr>
  </w:style>
  <w:style w:type="paragraph" w:styleId="22">
    <w:name w:val="Body Text"/>
    <w:basedOn w:val="1"/>
    <w:qFormat/>
    <w:uiPriority w:val="0"/>
    <w:pPr>
      <w:spacing w:after="120"/>
    </w:pPr>
  </w:style>
  <w:style w:type="paragraph" w:styleId="23">
    <w:name w:val="Body Text Indent"/>
    <w:basedOn w:val="1"/>
    <w:qFormat/>
    <w:uiPriority w:val="0"/>
    <w:pPr>
      <w:ind w:left="420" w:hanging="420" w:hangingChars="200"/>
    </w:pPr>
  </w:style>
  <w:style w:type="paragraph" w:styleId="24">
    <w:name w:val="HTML Address"/>
    <w:basedOn w:val="1"/>
    <w:qFormat/>
    <w:uiPriority w:val="0"/>
    <w:rPr>
      <w:i/>
      <w:iCs/>
    </w:rPr>
  </w:style>
  <w:style w:type="paragraph" w:styleId="25">
    <w:name w:val="Plain Text"/>
    <w:basedOn w:val="1"/>
    <w:qFormat/>
    <w:uiPriority w:val="0"/>
    <w:rPr>
      <w:rFonts w:ascii="宋体" w:hAnsi="Courier New"/>
      <w:szCs w:val="21"/>
    </w:rPr>
  </w:style>
  <w:style w:type="paragraph" w:styleId="26">
    <w:name w:val="toc 8"/>
    <w:basedOn w:val="11"/>
    <w:next w:val="1"/>
    <w:semiHidden/>
    <w:qFormat/>
    <w:uiPriority w:val="0"/>
  </w:style>
  <w:style w:type="paragraph" w:styleId="27">
    <w:name w:val="Date"/>
    <w:basedOn w:val="1"/>
    <w:next w:val="1"/>
    <w:qFormat/>
    <w:uiPriority w:val="0"/>
    <w:rPr>
      <w:rFonts w:ascii="黑体" w:eastAsia="黑体"/>
      <w:b/>
    </w:rPr>
  </w:style>
  <w:style w:type="paragraph" w:styleId="28">
    <w:name w:val="Balloon Text"/>
    <w:basedOn w:val="1"/>
    <w:semiHidden/>
    <w:qFormat/>
    <w:uiPriority w:val="0"/>
    <w:rPr>
      <w:sz w:val="18"/>
      <w:szCs w:val="18"/>
    </w:rPr>
  </w:style>
  <w:style w:type="paragraph" w:styleId="29">
    <w:name w:val="footer"/>
    <w:basedOn w:val="1"/>
    <w:link w:val="64"/>
    <w:qFormat/>
    <w:uiPriority w:val="99"/>
    <w:pPr>
      <w:tabs>
        <w:tab w:val="center" w:pos="4153"/>
        <w:tab w:val="right" w:pos="8306"/>
      </w:tabs>
      <w:snapToGrid w:val="0"/>
      <w:ind w:right="210" w:rightChars="100"/>
      <w:jc w:val="right"/>
    </w:pPr>
    <w:rPr>
      <w:sz w:val="18"/>
      <w:szCs w:val="18"/>
    </w:rPr>
  </w:style>
  <w:style w:type="paragraph" w:styleId="30">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31">
    <w:name w:val="footnote text"/>
    <w:basedOn w:val="1"/>
    <w:semiHidden/>
    <w:qFormat/>
    <w:uiPriority w:val="0"/>
    <w:pPr>
      <w:snapToGrid w:val="0"/>
      <w:jc w:val="left"/>
    </w:pPr>
    <w:rPr>
      <w:sz w:val="18"/>
      <w:szCs w:val="18"/>
    </w:rPr>
  </w:style>
  <w:style w:type="paragraph" w:styleId="32">
    <w:name w:val="Body Text Indent 3"/>
    <w:basedOn w:val="1"/>
    <w:qFormat/>
    <w:uiPriority w:val="0"/>
    <w:pPr>
      <w:spacing w:after="120"/>
      <w:ind w:left="420" w:leftChars="200"/>
    </w:pPr>
    <w:rPr>
      <w:sz w:val="16"/>
      <w:szCs w:val="16"/>
    </w:rPr>
  </w:style>
  <w:style w:type="paragraph" w:styleId="33">
    <w:name w:val="toc 9"/>
    <w:basedOn w:val="26"/>
    <w:next w:val="1"/>
    <w:semiHidden/>
    <w:qFormat/>
    <w:uiPriority w:val="0"/>
  </w:style>
  <w:style w:type="paragraph" w:styleId="34">
    <w:name w:val="HTML Preformatted"/>
    <w:basedOn w:val="1"/>
    <w:qFormat/>
    <w:uiPriority w:val="0"/>
    <w:rPr>
      <w:rFonts w:ascii="Courier New" w:hAnsi="Courier New" w:cs="Courier New"/>
      <w:sz w:val="20"/>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link w:val="62"/>
    <w:qFormat/>
    <w:uiPriority w:val="0"/>
    <w:pPr>
      <w:spacing w:before="240" w:after="60"/>
      <w:jc w:val="center"/>
      <w:outlineLvl w:val="0"/>
    </w:pPr>
    <w:rPr>
      <w:rFonts w:ascii="Arial" w:hAnsi="Arial" w:cs="Arial"/>
      <w:b/>
      <w:bCs/>
      <w:sz w:val="32"/>
      <w:szCs w:val="32"/>
    </w:rPr>
  </w:style>
  <w:style w:type="paragraph" w:styleId="37">
    <w:name w:val="annotation subject"/>
    <w:basedOn w:val="21"/>
    <w:next w:val="21"/>
    <w:semiHidden/>
    <w:qFormat/>
    <w:uiPriority w:val="0"/>
    <w:rPr>
      <w:b/>
      <w:bCs/>
    </w:rPr>
  </w:style>
  <w:style w:type="table" w:styleId="39">
    <w:name w:val="Table Grid"/>
    <w:basedOn w:val="38"/>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page number"/>
    <w:qFormat/>
    <w:uiPriority w:val="0"/>
    <w:rPr>
      <w:rFonts w:ascii="Times New Roman" w:hAnsi="Times New Roman" w:eastAsia="宋体"/>
      <w:sz w:val="18"/>
    </w:rPr>
  </w:style>
  <w:style w:type="character" w:styleId="42">
    <w:name w:val="FollowedHyperlink"/>
    <w:qFormat/>
    <w:uiPriority w:val="0"/>
    <w:rPr>
      <w:color w:val="800080"/>
      <w:u w:val="single"/>
    </w:rPr>
  </w:style>
  <w:style w:type="character" w:styleId="43">
    <w:name w:val="HTML Definition"/>
    <w:qFormat/>
    <w:uiPriority w:val="0"/>
    <w:rPr>
      <w:i/>
      <w:iCs/>
    </w:rPr>
  </w:style>
  <w:style w:type="character" w:styleId="44">
    <w:name w:val="HTML Typewriter"/>
    <w:qFormat/>
    <w:uiPriority w:val="0"/>
    <w:rPr>
      <w:rFonts w:ascii="Courier New" w:hAnsi="Courier New"/>
      <w:sz w:val="20"/>
      <w:szCs w:val="20"/>
    </w:rPr>
  </w:style>
  <w:style w:type="character" w:styleId="45">
    <w:name w:val="HTML Acronym"/>
    <w:basedOn w:val="40"/>
    <w:qFormat/>
    <w:uiPriority w:val="0"/>
  </w:style>
  <w:style w:type="character" w:styleId="46">
    <w:name w:val="HTML Variable"/>
    <w:qFormat/>
    <w:uiPriority w:val="0"/>
    <w:rPr>
      <w:i/>
      <w:iCs/>
    </w:rPr>
  </w:style>
  <w:style w:type="character" w:styleId="47">
    <w:name w:val="Hyperlink"/>
    <w:qFormat/>
    <w:uiPriority w:val="0"/>
    <w:rPr>
      <w:rFonts w:ascii="Times New Roman" w:hAnsi="Times New Roman" w:eastAsia="宋体"/>
      <w:color w:val="auto"/>
      <w:spacing w:val="0"/>
      <w:w w:val="100"/>
      <w:position w:val="0"/>
      <w:sz w:val="21"/>
      <w:u w:val="none"/>
      <w:vertAlign w:val="baseline"/>
    </w:rPr>
  </w:style>
  <w:style w:type="character" w:styleId="48">
    <w:name w:val="HTML Code"/>
    <w:qFormat/>
    <w:uiPriority w:val="0"/>
    <w:rPr>
      <w:rFonts w:ascii="Courier New" w:hAnsi="Courier New"/>
      <w:sz w:val="20"/>
      <w:szCs w:val="20"/>
    </w:rPr>
  </w:style>
  <w:style w:type="character" w:styleId="49">
    <w:name w:val="annotation reference"/>
    <w:semiHidden/>
    <w:qFormat/>
    <w:uiPriority w:val="0"/>
    <w:rPr>
      <w:sz w:val="21"/>
      <w:szCs w:val="21"/>
    </w:rPr>
  </w:style>
  <w:style w:type="character" w:styleId="50">
    <w:name w:val="HTML Cite"/>
    <w:qFormat/>
    <w:uiPriority w:val="0"/>
    <w:rPr>
      <w:i/>
      <w:iCs/>
    </w:rPr>
  </w:style>
  <w:style w:type="character" w:styleId="51">
    <w:name w:val="footnote reference"/>
    <w:semiHidden/>
    <w:qFormat/>
    <w:uiPriority w:val="0"/>
    <w:rPr>
      <w:vertAlign w:val="superscript"/>
    </w:rPr>
  </w:style>
  <w:style w:type="character" w:styleId="52">
    <w:name w:val="HTML Keyboard"/>
    <w:qFormat/>
    <w:uiPriority w:val="0"/>
    <w:rPr>
      <w:rFonts w:ascii="Courier New" w:hAnsi="Courier New"/>
      <w:sz w:val="20"/>
      <w:szCs w:val="20"/>
    </w:rPr>
  </w:style>
  <w:style w:type="character" w:styleId="53">
    <w:name w:val="HTML Sample"/>
    <w:qFormat/>
    <w:uiPriority w:val="0"/>
    <w:rPr>
      <w:rFonts w:ascii="Courier New" w:hAnsi="Courier New"/>
    </w:rPr>
  </w:style>
  <w:style w:type="character" w:customStyle="1" w:styleId="54">
    <w:name w:val="发布"/>
    <w:qFormat/>
    <w:uiPriority w:val="0"/>
    <w:rPr>
      <w:rFonts w:ascii="黑体" w:eastAsia="黑体"/>
      <w:spacing w:val="22"/>
      <w:w w:val="100"/>
      <w:position w:val="3"/>
      <w:sz w:val="28"/>
    </w:rPr>
  </w:style>
  <w:style w:type="character" w:customStyle="1" w:styleId="55">
    <w:name w:val="个人答复风格"/>
    <w:qFormat/>
    <w:uiPriority w:val="0"/>
    <w:rPr>
      <w:rFonts w:ascii="Arial" w:hAnsi="Arial" w:eastAsia="宋体" w:cs="Arial"/>
      <w:color w:val="auto"/>
      <w:sz w:val="20"/>
    </w:rPr>
  </w:style>
  <w:style w:type="character" w:customStyle="1" w:styleId="56">
    <w:name w:val="个人撰写风格"/>
    <w:qFormat/>
    <w:uiPriority w:val="0"/>
    <w:rPr>
      <w:rFonts w:ascii="Arial" w:hAnsi="Arial" w:eastAsia="宋体" w:cs="Arial"/>
      <w:color w:val="auto"/>
      <w:sz w:val="20"/>
    </w:rPr>
  </w:style>
  <w:style w:type="character" w:customStyle="1" w:styleId="57">
    <w:name w:val="mtitle1"/>
    <w:qFormat/>
    <w:uiPriority w:val="0"/>
    <w:rPr>
      <w:rFonts w:hint="default" w:ascii="ˎ̥" w:hAnsi="ˎ̥"/>
      <w:color w:val="000000"/>
      <w:sz w:val="21"/>
      <w:szCs w:val="21"/>
    </w:rPr>
  </w:style>
  <w:style w:type="character" w:customStyle="1" w:styleId="58">
    <w:name w:val="段 Char"/>
    <w:link w:val="59"/>
    <w:qFormat/>
    <w:uiPriority w:val="0"/>
    <w:rPr>
      <w:rFonts w:ascii="宋体"/>
      <w:sz w:val="21"/>
      <w:lang w:val="en-US" w:eastAsia="zh-CN" w:bidi="ar-SA"/>
    </w:rPr>
  </w:style>
  <w:style w:type="paragraph" w:customStyle="1" w:styleId="59">
    <w:name w:val="段"/>
    <w:link w:val="58"/>
    <w:qFormat/>
    <w:uiPriority w:val="0"/>
    <w:pPr>
      <w:ind w:firstLine="200" w:firstLineChars="200"/>
      <w:jc w:val="both"/>
    </w:pPr>
    <w:rPr>
      <w:rFonts w:ascii="宋体" w:hAnsi="Times New Roman" w:eastAsia="宋体" w:cs="Times New Roman"/>
      <w:sz w:val="21"/>
      <w:lang w:val="en-US" w:eastAsia="zh-CN" w:bidi="ar-SA"/>
    </w:rPr>
  </w:style>
  <w:style w:type="character" w:customStyle="1" w:styleId="60">
    <w:name w:val="goog_qs-tidbit-1"/>
    <w:basedOn w:val="40"/>
    <w:qFormat/>
    <w:uiPriority w:val="0"/>
  </w:style>
  <w:style w:type="character" w:customStyle="1" w:styleId="61">
    <w:name w:val="goog_qs-tidbit goog_qs-tidbit-1"/>
    <w:basedOn w:val="40"/>
    <w:qFormat/>
    <w:uiPriority w:val="0"/>
  </w:style>
  <w:style w:type="character" w:customStyle="1" w:styleId="62">
    <w:name w:val="标题 Char"/>
    <w:link w:val="36"/>
    <w:qFormat/>
    <w:locked/>
    <w:uiPriority w:val="0"/>
    <w:rPr>
      <w:rFonts w:ascii="Arial" w:hAnsi="Arial" w:eastAsia="宋体" w:cs="Arial"/>
      <w:b/>
      <w:bCs/>
      <w:kern w:val="2"/>
      <w:sz w:val="32"/>
      <w:szCs w:val="32"/>
      <w:lang w:val="en-US" w:eastAsia="zh-CN" w:bidi="ar-SA"/>
    </w:rPr>
  </w:style>
  <w:style w:type="character" w:customStyle="1" w:styleId="63">
    <w:name w:val="页眉 Char"/>
    <w:link w:val="30"/>
    <w:qFormat/>
    <w:locked/>
    <w:uiPriority w:val="0"/>
    <w:rPr>
      <w:rFonts w:eastAsia="宋体"/>
      <w:kern w:val="2"/>
      <w:sz w:val="18"/>
      <w:szCs w:val="18"/>
      <w:lang w:val="en-US" w:eastAsia="zh-CN" w:bidi="ar-SA"/>
    </w:rPr>
  </w:style>
  <w:style w:type="character" w:customStyle="1" w:styleId="64">
    <w:name w:val="页脚 Char"/>
    <w:link w:val="29"/>
    <w:qFormat/>
    <w:uiPriority w:val="99"/>
    <w:rPr>
      <w:kern w:val="2"/>
      <w:sz w:val="18"/>
      <w:szCs w:val="18"/>
    </w:rPr>
  </w:style>
  <w:style w:type="paragraph" w:customStyle="1" w:styleId="65">
    <w:name w:val="示例"/>
    <w:next w:val="59"/>
    <w:qFormat/>
    <w:uiPriority w:val="0"/>
    <w:pPr>
      <w:numPr>
        <w:ilvl w:val="0"/>
        <w:numId w:val="1"/>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66">
    <w:name w:val="二级无标题条"/>
    <w:basedOn w:val="1"/>
    <w:qFormat/>
    <w:uiPriority w:val="0"/>
    <w:pPr>
      <w:numPr>
        <w:ilvl w:val="3"/>
        <w:numId w:val="2"/>
      </w:numPr>
    </w:pPr>
  </w:style>
  <w:style w:type="paragraph" w:customStyle="1" w:styleId="67">
    <w:name w:val="其他发布部门"/>
    <w:basedOn w:val="68"/>
    <w:qFormat/>
    <w:uiPriority w:val="0"/>
    <w:pPr>
      <w:spacing w:line="0" w:lineRule="atLeast"/>
    </w:pPr>
    <w:rPr>
      <w:rFonts w:ascii="黑体" w:eastAsia="黑体"/>
      <w:b w:val="0"/>
    </w:rPr>
  </w:style>
  <w:style w:type="paragraph" w:customStyle="1" w:styleId="68">
    <w:name w:val="发布部门"/>
    <w:next w:val="59"/>
    <w:qFormat/>
    <w:uiPriority w:val="0"/>
    <w:pPr>
      <w:jc w:val="center"/>
    </w:pPr>
    <w:rPr>
      <w:rFonts w:ascii="宋体" w:hAnsi="Times New Roman" w:eastAsia="宋体" w:cs="Times New Roman"/>
      <w:b/>
      <w:spacing w:val="20"/>
      <w:w w:val="135"/>
      <w:sz w:val="36"/>
      <w:lang w:val="en-US" w:eastAsia="zh-CN" w:bidi="ar-SA"/>
    </w:rPr>
  </w:style>
  <w:style w:type="paragraph" w:customStyle="1" w:styleId="69">
    <w:name w:val="标准书眉_偶数页"/>
    <w:basedOn w:val="70"/>
    <w:next w:val="1"/>
    <w:qFormat/>
    <w:uiPriority w:val="0"/>
    <w:pPr>
      <w:tabs>
        <w:tab w:val="center" w:pos="4154"/>
        <w:tab w:val="right" w:pos="8306"/>
      </w:tabs>
      <w:jc w:val="left"/>
    </w:pPr>
  </w:style>
  <w:style w:type="paragraph" w:customStyle="1" w:styleId="7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1">
    <w:name w:val="附录四级条标题"/>
    <w:basedOn w:val="72"/>
    <w:next w:val="59"/>
    <w:qFormat/>
    <w:uiPriority w:val="0"/>
    <w:pPr>
      <w:numPr>
        <w:ilvl w:val="5"/>
      </w:numPr>
      <w:outlineLvl w:val="5"/>
    </w:pPr>
  </w:style>
  <w:style w:type="paragraph" w:customStyle="1" w:styleId="72">
    <w:name w:val="附录三级条标题"/>
    <w:basedOn w:val="73"/>
    <w:next w:val="59"/>
    <w:qFormat/>
    <w:uiPriority w:val="0"/>
    <w:pPr>
      <w:numPr>
        <w:ilvl w:val="4"/>
      </w:numPr>
      <w:outlineLvl w:val="4"/>
    </w:pPr>
  </w:style>
  <w:style w:type="paragraph" w:customStyle="1" w:styleId="73">
    <w:name w:val="附录二级条标题"/>
    <w:basedOn w:val="74"/>
    <w:next w:val="59"/>
    <w:qFormat/>
    <w:uiPriority w:val="0"/>
    <w:pPr>
      <w:numPr>
        <w:ilvl w:val="3"/>
      </w:numPr>
      <w:outlineLvl w:val="3"/>
    </w:pPr>
  </w:style>
  <w:style w:type="paragraph" w:customStyle="1" w:styleId="74">
    <w:name w:val="附录一级条标题"/>
    <w:basedOn w:val="75"/>
    <w:next w:val="59"/>
    <w:qFormat/>
    <w:uiPriority w:val="0"/>
    <w:pPr>
      <w:numPr>
        <w:ilvl w:val="2"/>
      </w:numPr>
      <w:autoSpaceDN w:val="0"/>
      <w:spacing w:beforeLines="0" w:afterLines="0"/>
      <w:outlineLvl w:val="2"/>
    </w:pPr>
  </w:style>
  <w:style w:type="paragraph" w:customStyle="1" w:styleId="75">
    <w:name w:val="附录章标题"/>
    <w:next w:val="59"/>
    <w:qFormat/>
    <w:uiPriority w:val="0"/>
    <w:pPr>
      <w:numPr>
        <w:ilvl w:val="1"/>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76">
    <w:name w:val="一级条标题"/>
    <w:basedOn w:val="77"/>
    <w:next w:val="59"/>
    <w:qFormat/>
    <w:uiPriority w:val="0"/>
    <w:pPr>
      <w:spacing w:beforeLines="0" w:afterLines="0"/>
      <w:outlineLvl w:val="2"/>
    </w:pPr>
  </w:style>
  <w:style w:type="paragraph" w:customStyle="1" w:styleId="77">
    <w:name w:val="章标题"/>
    <w:next w:val="59"/>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78">
    <w:name w:val="前言、引言标题"/>
    <w:next w:val="1"/>
    <w:qFormat/>
    <w:uiPriority w:val="0"/>
    <w:pPr>
      <w:numPr>
        <w:ilvl w:val="0"/>
        <w:numId w:val="4"/>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0">
    <w:name w:val="三级条标题"/>
    <w:basedOn w:val="81"/>
    <w:next w:val="59"/>
    <w:qFormat/>
    <w:uiPriority w:val="0"/>
    <w:pPr>
      <w:numPr>
        <w:ilvl w:val="4"/>
        <w:numId w:val="4"/>
      </w:numPr>
      <w:outlineLvl w:val="4"/>
    </w:pPr>
  </w:style>
  <w:style w:type="paragraph" w:customStyle="1" w:styleId="81">
    <w:name w:val="二级条标题"/>
    <w:basedOn w:val="76"/>
    <w:next w:val="59"/>
    <w:qFormat/>
    <w:uiPriority w:val="0"/>
    <w:pPr>
      <w:outlineLvl w:val="3"/>
    </w:pPr>
  </w:style>
  <w:style w:type="paragraph" w:customStyle="1" w:styleId="82">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3">
    <w:name w:val="附录五级条标题"/>
    <w:basedOn w:val="71"/>
    <w:next w:val="59"/>
    <w:qFormat/>
    <w:uiPriority w:val="0"/>
    <w:pPr>
      <w:numPr>
        <w:ilvl w:val="6"/>
      </w:numPr>
      <w:outlineLvl w:val="6"/>
    </w:pPr>
  </w:style>
  <w:style w:type="paragraph" w:customStyle="1" w:styleId="84">
    <w:name w:val="标准书眉一"/>
    <w:qFormat/>
    <w:uiPriority w:val="0"/>
    <w:pPr>
      <w:jc w:val="both"/>
    </w:pPr>
    <w:rPr>
      <w:rFonts w:ascii="Times New Roman" w:hAnsi="Times New Roman" w:eastAsia="宋体" w:cs="Times New Roman"/>
      <w:lang w:val="en-US" w:eastAsia="zh-CN" w:bidi="ar-SA"/>
    </w:rPr>
  </w:style>
  <w:style w:type="paragraph" w:customStyle="1" w:styleId="85">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88">
    <w:name w:val="参考文献、索引标题"/>
    <w:basedOn w:val="78"/>
    <w:next w:val="1"/>
    <w:qFormat/>
    <w:uiPriority w:val="0"/>
    <w:pPr>
      <w:numPr>
        <w:numId w:val="0"/>
      </w:numPr>
      <w:spacing w:after="200"/>
    </w:pPr>
    <w:rPr>
      <w:sz w:val="21"/>
    </w:rPr>
  </w:style>
  <w:style w:type="paragraph" w:customStyle="1" w:styleId="89">
    <w:name w:val="发布日期"/>
    <w:qFormat/>
    <w:uiPriority w:val="0"/>
    <w:rPr>
      <w:rFonts w:ascii="Times New Roman" w:hAnsi="Times New Roman" w:eastAsia="黑体" w:cs="Times New Roman"/>
      <w:sz w:val="28"/>
      <w:lang w:val="en-US" w:eastAsia="zh-CN" w:bidi="ar-SA"/>
    </w:rPr>
  </w:style>
  <w:style w:type="paragraph" w:customStyle="1" w:styleId="90">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1">
    <w:name w:val="实施日期"/>
    <w:basedOn w:val="89"/>
    <w:qFormat/>
    <w:uiPriority w:val="0"/>
    <w:pPr>
      <w:jc w:val="right"/>
    </w:pPr>
  </w:style>
  <w:style w:type="paragraph" w:customStyle="1" w:styleId="92">
    <w:name w:val="封面标准号2"/>
    <w:basedOn w:val="90"/>
    <w:qFormat/>
    <w:uiPriority w:val="0"/>
    <w:pPr>
      <w:adjustRightInd w:val="0"/>
      <w:spacing w:before="357" w:line="280" w:lineRule="exact"/>
    </w:pPr>
  </w:style>
  <w:style w:type="paragraph" w:customStyle="1" w:styleId="93">
    <w:name w:val="封面标准代替信息"/>
    <w:basedOn w:val="92"/>
    <w:qFormat/>
    <w:uiPriority w:val="0"/>
    <w:pPr>
      <w:spacing w:before="57"/>
    </w:pPr>
    <w:rPr>
      <w:rFonts w:ascii="宋体"/>
      <w:sz w:val="21"/>
    </w:rPr>
  </w:style>
  <w:style w:type="paragraph" w:customStyle="1" w:styleId="9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99">
    <w:name w:val="封面正文"/>
    <w:qFormat/>
    <w:uiPriority w:val="0"/>
    <w:pPr>
      <w:jc w:val="both"/>
    </w:pPr>
    <w:rPr>
      <w:rFonts w:ascii="Times New Roman" w:hAnsi="Times New Roman" w:eastAsia="宋体" w:cs="Times New Roman"/>
      <w:lang w:val="en-US" w:eastAsia="zh-CN" w:bidi="ar-SA"/>
    </w:rPr>
  </w:style>
  <w:style w:type="paragraph" w:customStyle="1" w:styleId="100">
    <w:name w:val="附录标识"/>
    <w:basedOn w:val="78"/>
    <w:qFormat/>
    <w:uiPriority w:val="0"/>
    <w:pPr>
      <w:numPr>
        <w:ilvl w:val="0"/>
        <w:numId w:val="3"/>
      </w:numPr>
      <w:tabs>
        <w:tab w:val="left" w:pos="6405"/>
      </w:tabs>
      <w:spacing w:after="200"/>
    </w:pPr>
    <w:rPr>
      <w:sz w:val="21"/>
    </w:rPr>
  </w:style>
  <w:style w:type="paragraph" w:customStyle="1" w:styleId="101">
    <w:name w:val="附录表标题"/>
    <w:next w:val="59"/>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02">
    <w:name w:val="附录图标题"/>
    <w:next w:val="59"/>
    <w:qFormat/>
    <w:uiPriority w:val="0"/>
    <w:pPr>
      <w:jc w:val="center"/>
    </w:pPr>
    <w:rPr>
      <w:rFonts w:ascii="黑体" w:hAnsi="Times New Roman" w:eastAsia="黑体" w:cs="Times New Roman"/>
      <w:sz w:val="21"/>
      <w:lang w:val="en-US" w:eastAsia="zh-CN" w:bidi="ar-SA"/>
    </w:rPr>
  </w:style>
  <w:style w:type="paragraph" w:customStyle="1" w:styleId="103">
    <w:name w:val="列项——"/>
    <w:qFormat/>
    <w:uiPriority w:val="0"/>
    <w:pPr>
      <w:widowControl w:val="0"/>
      <w:numPr>
        <w:ilvl w:val="0"/>
        <w:numId w:val="5"/>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04">
    <w:name w:val="列项·"/>
    <w:qFormat/>
    <w:uiPriority w:val="0"/>
    <w:pPr>
      <w:numPr>
        <w:ilvl w:val="0"/>
        <w:numId w:val="6"/>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05">
    <w:name w:val="目次、标准名称标题"/>
    <w:basedOn w:val="78"/>
    <w:next w:val="59"/>
    <w:qFormat/>
    <w:uiPriority w:val="0"/>
    <w:pPr>
      <w:numPr>
        <w:numId w:val="0"/>
      </w:numPr>
      <w:spacing w:line="460" w:lineRule="exact"/>
    </w:pPr>
  </w:style>
  <w:style w:type="paragraph" w:customStyle="1" w:styleId="10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7">
    <w:name w:val="三级无标题条"/>
    <w:basedOn w:val="1"/>
    <w:qFormat/>
    <w:uiPriority w:val="0"/>
    <w:pPr>
      <w:numPr>
        <w:ilvl w:val="4"/>
        <w:numId w:val="2"/>
      </w:numPr>
    </w:pPr>
  </w:style>
  <w:style w:type="paragraph" w:customStyle="1" w:styleId="108">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09">
    <w:name w:val="四级条标题"/>
    <w:basedOn w:val="80"/>
    <w:next w:val="59"/>
    <w:qFormat/>
    <w:uiPriority w:val="0"/>
    <w:pPr>
      <w:numPr>
        <w:ilvl w:val="5"/>
      </w:numPr>
      <w:outlineLvl w:val="5"/>
    </w:pPr>
  </w:style>
  <w:style w:type="paragraph" w:customStyle="1" w:styleId="110">
    <w:name w:val="四级无标题条"/>
    <w:basedOn w:val="1"/>
    <w:qFormat/>
    <w:uiPriority w:val="0"/>
    <w:pPr>
      <w:numPr>
        <w:ilvl w:val="5"/>
        <w:numId w:val="2"/>
      </w:numPr>
    </w:pPr>
  </w:style>
  <w:style w:type="paragraph" w:customStyle="1" w:styleId="111">
    <w:name w:val="条文脚注"/>
    <w:basedOn w:val="31"/>
    <w:qFormat/>
    <w:uiPriority w:val="0"/>
    <w:pPr>
      <w:ind w:left="780" w:leftChars="200" w:hanging="360" w:hangingChars="200"/>
      <w:jc w:val="both"/>
    </w:pPr>
    <w:rPr>
      <w:rFonts w:ascii="宋体"/>
    </w:rPr>
  </w:style>
  <w:style w:type="paragraph" w:customStyle="1" w:styleId="112">
    <w:name w:val="图表脚注"/>
    <w:next w:val="59"/>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13">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14">
    <w:name w:val="无标题条"/>
    <w:next w:val="59"/>
    <w:qFormat/>
    <w:uiPriority w:val="0"/>
    <w:pPr>
      <w:jc w:val="both"/>
    </w:pPr>
    <w:rPr>
      <w:rFonts w:ascii="Times New Roman" w:hAnsi="Times New Roman" w:eastAsia="宋体" w:cs="Times New Roman"/>
      <w:sz w:val="21"/>
      <w:lang w:val="en-US" w:eastAsia="zh-CN" w:bidi="ar-SA"/>
    </w:rPr>
  </w:style>
  <w:style w:type="paragraph" w:customStyle="1" w:styleId="115">
    <w:name w:val="五级条标题"/>
    <w:basedOn w:val="109"/>
    <w:next w:val="59"/>
    <w:qFormat/>
    <w:uiPriority w:val="0"/>
    <w:pPr>
      <w:numPr>
        <w:ilvl w:val="6"/>
      </w:numPr>
      <w:outlineLvl w:val="6"/>
    </w:pPr>
  </w:style>
  <w:style w:type="paragraph" w:customStyle="1" w:styleId="116">
    <w:name w:val="五级无标题条"/>
    <w:basedOn w:val="1"/>
    <w:qFormat/>
    <w:uiPriority w:val="0"/>
    <w:pPr>
      <w:numPr>
        <w:ilvl w:val="6"/>
        <w:numId w:val="2"/>
      </w:numPr>
    </w:pPr>
  </w:style>
  <w:style w:type="paragraph" w:customStyle="1" w:styleId="117">
    <w:name w:val="一级无标题条"/>
    <w:basedOn w:val="1"/>
    <w:qFormat/>
    <w:uiPriority w:val="0"/>
  </w:style>
  <w:style w:type="paragraph" w:customStyle="1" w:styleId="118">
    <w:name w:val="正文表标题"/>
    <w:next w:val="59"/>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19">
    <w:name w:val="正文图标题"/>
    <w:next w:val="59"/>
    <w:qFormat/>
    <w:uiPriority w:val="0"/>
    <w:pPr>
      <w:numPr>
        <w:ilvl w:val="0"/>
        <w:numId w:val="8"/>
      </w:numPr>
      <w:jc w:val="center"/>
    </w:pPr>
    <w:rPr>
      <w:rFonts w:ascii="黑体" w:hAnsi="Times New Roman" w:eastAsia="黑体" w:cs="Times New Roman"/>
      <w:sz w:val="21"/>
      <w:lang w:val="en-US" w:eastAsia="zh-CN" w:bidi="ar-SA"/>
    </w:rPr>
  </w:style>
  <w:style w:type="paragraph" w:customStyle="1" w:styleId="120">
    <w:name w:val="注："/>
    <w:next w:val="59"/>
    <w:qFormat/>
    <w:uiPriority w:val="0"/>
    <w:pPr>
      <w:widowControl w:val="0"/>
      <w:numPr>
        <w:ilvl w:val="0"/>
        <w:numId w:val="9"/>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21">
    <w:name w:val="注×："/>
    <w:qFormat/>
    <w:uiPriority w:val="0"/>
    <w:pPr>
      <w:widowControl w:val="0"/>
      <w:numPr>
        <w:ilvl w:val="0"/>
        <w:numId w:val="10"/>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2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23">
    <w:name w:val="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4">
    <w:name w:val="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5">
    <w:name w:val="_Style 123"/>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
    <w:name w:val="修订1"/>
    <w:hidden/>
    <w:semiHidden/>
    <w:qFormat/>
    <w:uiPriority w:val="99"/>
    <w:rPr>
      <w:rFonts w:ascii="Times New Roman" w:hAnsi="Times New Roman" w:eastAsia="宋体" w:cs="Times New Roman"/>
      <w:kern w:val="2"/>
      <w:sz w:val="21"/>
      <w:lang w:val="en-US" w:eastAsia="zh-CN" w:bidi="ar-SA"/>
    </w:rPr>
  </w:style>
  <w:style w:type="paragraph" w:customStyle="1" w:styleId="127">
    <w:name w:val="列出段落1"/>
    <w:basedOn w:val="1"/>
    <w:qFormat/>
    <w:uiPriority w:val="0"/>
    <w:pPr>
      <w:ind w:firstLine="420" w:firstLineChars="200"/>
    </w:pPr>
    <w:rPr>
      <w:rFonts w:ascii="Calibri" w:hAnsi="Calibri"/>
      <w:szCs w:val="22"/>
    </w:rPr>
  </w:style>
  <w:style w:type="character" w:customStyle="1" w:styleId="128">
    <w:name w:val="批注文字 Char"/>
    <w:basedOn w:val="40"/>
    <w:link w:val="21"/>
    <w:semiHidden/>
    <w:qFormat/>
    <w:uiPriority w:val="0"/>
    <w:rPr>
      <w:kern w:val="2"/>
      <w:sz w:val="21"/>
    </w:rPr>
  </w:style>
  <w:style w:type="paragraph" w:customStyle="1" w:styleId="129">
    <w:name w:val="列出段落2"/>
    <w:basedOn w:val="1"/>
    <w:qFormat/>
    <w:uiPriority w:val="34"/>
    <w:pPr>
      <w:ind w:firstLine="420" w:firstLineChars="200"/>
    </w:pPr>
  </w:style>
  <w:style w:type="paragraph" w:customStyle="1" w:styleId="130">
    <w:name w:val="zjmy_正文"/>
    <w:basedOn w:val="1"/>
    <w:qFormat/>
    <w:uiPriority w:val="0"/>
    <w:pPr>
      <w:spacing w:beforeLines="50" w:afterLines="50" w:line="360" w:lineRule="auto"/>
      <w:ind w:firstLine="490" w:firstLineChars="175"/>
      <w:jc w:val="left"/>
    </w:pPr>
    <w:rPr>
      <w:rFonts w:ascii="宋体" w:hAnsi="宋体"/>
      <w:sz w:val="24"/>
      <w:szCs w:val="28"/>
    </w:rPr>
  </w:style>
  <w:style w:type="paragraph" w:customStyle="1" w:styleId="131">
    <w:name w:val="标准文件_章标题"/>
    <w:next w:val="132"/>
    <w:qFormat/>
    <w:uiPriority w:val="0"/>
    <w:pPr>
      <w:numPr>
        <w:ilvl w:val="1"/>
        <w:numId w:val="4"/>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32">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3">
    <w:name w:val="标准文件_二级无标题"/>
    <w:basedOn w:val="134"/>
    <w:qFormat/>
    <w:uiPriority w:val="0"/>
    <w:pPr>
      <w:spacing w:before="0" w:beforeLines="0" w:after="0" w:afterLines="0"/>
      <w:outlineLvl w:val="9"/>
    </w:pPr>
    <w:rPr>
      <w:rFonts w:ascii="宋体" w:eastAsia="宋体"/>
    </w:rPr>
  </w:style>
  <w:style w:type="paragraph" w:customStyle="1" w:styleId="134">
    <w:name w:val="标准文件_二级条标题"/>
    <w:next w:val="132"/>
    <w:qFormat/>
    <w:uiPriority w:val="0"/>
    <w:pPr>
      <w:widowControl w:val="0"/>
      <w:numPr>
        <w:ilvl w:val="3"/>
        <w:numId w:val="4"/>
      </w:numPr>
      <w:spacing w:before="50" w:beforeLines="50" w:after="50" w:afterLines="50"/>
      <w:jc w:val="both"/>
      <w:outlineLvl w:val="2"/>
    </w:pPr>
    <w:rPr>
      <w:rFonts w:ascii="黑体" w:hAnsi="Times New Roman" w:eastAsia="黑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090fde3-1ddf-4ba7-b46e-0e185c002209}"/>
        <w:style w:val=""/>
        <w:category>
          <w:name w:val="常规"/>
          <w:gallery w:val="placeholder"/>
        </w:category>
        <w:types>
          <w:type w:val="bbPlcHdr"/>
        </w:types>
        <w:behaviors>
          <w:behavior w:val="content"/>
        </w:behaviors>
        <w:description w:val=""/>
        <w:guid w:val="{7090fde3-1ddf-4ba7-b46e-0e185c002209}"/>
      </w:docPartPr>
      <w:docPartBody>
        <w:p>
          <w:pPr>
            <w:pStyle w:val="2"/>
          </w:pPr>
          <w:r>
            <w:rPr>
              <w:rStyle w:val="3"/>
              <w:rFonts w:hint="eastAsia"/>
            </w:rPr>
            <w:t>单击或点击此处输入文字。</w:t>
          </w:r>
        </w:p>
      </w:docPartBody>
    </w:docPart>
    <w:docPart>
      <w:docPartPr>
        <w:name w:val="{77daac4c-2fb7-42e0-82f7-d02dcdd18b4b}"/>
        <w:style w:val=""/>
        <w:category>
          <w:name w:val="常规"/>
          <w:gallery w:val="placeholder"/>
        </w:category>
        <w:types>
          <w:type w:val="bbPlcHdr"/>
        </w:types>
        <w:behaviors>
          <w:behavior w:val="content"/>
        </w:behaviors>
        <w:description w:val=""/>
        <w:guid w:val="{77daac4c-2fb7-42e0-82f7-d02dcdd18b4b}"/>
      </w:docPartPr>
      <w:docPartBody>
        <w:p>
          <w:pPr>
            <w:pStyle w:val="2"/>
          </w:pPr>
          <w:r>
            <w:rPr>
              <w:rStyle w:val="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iPriority="1" w:name="Default Paragraph Font"/>
    <w:lsdException w:qFormat="1" w:unhideWhenUsed="0" w:uiPriority="99" w:name="Placeholder Text"/>
  </w:latentStyles>
  <w:style w:type="character" w:default="1" w:styleId="1">
    <w:name w:val="Default Paragraph Font"/>
    <w:semiHidden/>
    <w:unhideWhenUsed/>
    <w:qFormat/>
    <w:uiPriority w:val="1"/>
  </w:style>
  <w:style w:type="paragraph" w:customStyle="1" w:styleId="2">
    <w:name w:val="1CE4D1B4AAB2402FB1B51036F261601F"/>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3">
    <w:name w:val="Placeholder Text"/>
    <w:basedOn w:val="1"/>
    <w:semiHidden/>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中国标准研究中心</Company>
  <Pages>6</Pages>
  <Words>133</Words>
  <Characters>760</Characters>
  <Lines>6</Lines>
  <Paragraphs>1</Paragraphs>
  <TotalTime>1</TotalTime>
  <ScaleCrop>false</ScaleCrop>
  <LinksUpToDate>false</LinksUpToDate>
  <CharactersWithSpaces>892</CharactersWithSpaces>
  <Application>WPS Office_11.8.2.9695_F1E327BC-269C-435d-A152-05C5408002CA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2018-06-08T00:29:00Z</dcterms:created>
  <dc:creator>USER</dc:creator>
  <cp:lastModifiedBy>贺鹏艳</cp:lastModifiedBy>
  <cp:lastPrinted>2015-09-09T21:55:00Z</cp:lastPrinted>
  <dcterms:modified xsi:type="dcterms:W3CDTF">2026-10-22T11:07:30Z</dcterms:modified>
  <dc:title>小蔗螟检疫鉴定方法</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y fmtid="{D5CDD505-2E9C-101B-9397-08002B2CF9AE}" pid="3" name="ICV">
    <vt:lpwstr>80EA6733300B4DE3B1773E91D2F91A69_12</vt:lpwstr>
  </property>
</Properties>
</file>