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jc w:val="center"/>
        <w:rPr>
          <w:rFonts w:ascii="方正小标宋简体" w:eastAsia="方正小标宋简体"/>
          <w:sz w:val="32"/>
          <w:szCs w:val="32"/>
        </w:rPr>
      </w:pPr>
      <w:r>
        <w:rPr>
          <w:rFonts w:hint="eastAsia" w:ascii="方正小标宋简体" w:eastAsia="方正小标宋简体"/>
          <w:sz w:val="32"/>
          <w:szCs w:val="32"/>
        </w:rPr>
        <w:t>认证认可</w:t>
      </w:r>
      <w:r>
        <w:rPr>
          <w:rFonts w:ascii="方正小标宋简体" w:eastAsia="方正小标宋简体"/>
          <w:sz w:val="32"/>
          <w:szCs w:val="32"/>
        </w:rPr>
        <w:t>行业标准草案编制说明</w:t>
      </w:r>
    </w:p>
    <w:tbl>
      <w:tblPr>
        <w:tblStyle w:val="38"/>
        <w:tblpPr w:leftFromText="180" w:rightFromText="180" w:vertAnchor="text" w:horzAnchor="margin" w:tblpXSpec="center" w:tblpY="169"/>
        <w:tblW w:w="9384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794"/>
        <w:gridCol w:w="1384"/>
        <w:gridCol w:w="1155"/>
        <w:gridCol w:w="2105"/>
        <w:gridCol w:w="1128"/>
        <w:gridCol w:w="1818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68" w:hRule="atLeast"/>
        </w:trPr>
        <w:tc>
          <w:tcPr>
            <w:tcW w:w="938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1、基本信息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8" w:hRule="atLeast"/>
        </w:trPr>
        <w:tc>
          <w:tcPr>
            <w:tcW w:w="17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1.1 标准草案名称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中文</w:t>
            </w: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检验检测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报告格式规范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48" w:hRule="atLeast"/>
        </w:trPr>
        <w:tc>
          <w:tcPr>
            <w:tcW w:w="17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176" w:rightChars="84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英文</w:t>
            </w: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Specifications for Format of Inspection and Testing Report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03" w:hRule="atLeast"/>
        </w:trPr>
        <w:tc>
          <w:tcPr>
            <w:tcW w:w="1794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1.2 与国际标准和国外先进标准一致</w:t>
            </w:r>
            <w:r>
              <w:rPr>
                <w:rFonts w:hint="eastAsia" w:ascii="宋体" w:hAnsi="宋体"/>
                <w:color w:val="000000"/>
                <w:szCs w:val="21"/>
              </w:rPr>
              <w:t>性</w:t>
            </w:r>
            <w:r>
              <w:rPr>
                <w:rFonts w:ascii="宋体" w:hAnsi="宋体"/>
                <w:color w:val="000000"/>
                <w:szCs w:val="21"/>
              </w:rPr>
              <w:t>程度情况</w:t>
            </w:r>
          </w:p>
        </w:tc>
        <w:tc>
          <w:tcPr>
            <w:tcW w:w="1384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□等同</w:t>
            </w:r>
            <w:r>
              <w:rPr>
                <w:rFonts w:hint="eastAsia" w:ascii="宋体" w:hAnsi="宋体"/>
                <w:color w:val="000000"/>
                <w:szCs w:val="21"/>
              </w:rPr>
              <w:t>采用</w:t>
            </w:r>
          </w:p>
          <w:p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□修改</w:t>
            </w:r>
            <w:r>
              <w:rPr>
                <w:rFonts w:hint="eastAsia" w:ascii="宋体" w:hAnsi="宋体"/>
                <w:color w:val="000000"/>
                <w:szCs w:val="21"/>
              </w:rPr>
              <w:t>采用</w:t>
            </w:r>
          </w:p>
          <w:p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□非等效</w:t>
            </w:r>
            <w:r>
              <w:rPr>
                <w:rFonts w:hint="eastAsia" w:ascii="宋体" w:hAnsi="宋体"/>
                <w:color w:val="000000"/>
                <w:szCs w:val="21"/>
              </w:rPr>
              <w:t>采用</w:t>
            </w:r>
          </w:p>
          <w:p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☑</w:t>
            </w:r>
            <w:r>
              <w:rPr>
                <w:rFonts w:hint="eastAsia" w:ascii="宋体" w:hAnsi="宋体"/>
                <w:color w:val="000000"/>
                <w:szCs w:val="21"/>
              </w:rPr>
              <w:t>未采用</w:t>
            </w:r>
          </w:p>
        </w:tc>
        <w:tc>
          <w:tcPr>
            <w:tcW w:w="11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标准</w:t>
            </w:r>
            <w:r>
              <w:rPr>
                <w:rFonts w:hint="eastAsia" w:ascii="宋体" w:hAnsi="宋体"/>
                <w:color w:val="000000"/>
                <w:szCs w:val="21"/>
              </w:rPr>
              <w:t>编</w:t>
            </w:r>
            <w:r>
              <w:rPr>
                <w:rFonts w:ascii="宋体" w:hAnsi="宋体"/>
                <w:color w:val="000000"/>
                <w:szCs w:val="21"/>
              </w:rPr>
              <w:t>号</w:t>
            </w:r>
          </w:p>
        </w:tc>
        <w:tc>
          <w:tcPr>
            <w:tcW w:w="5051" w:type="dxa"/>
            <w:gridSpan w:val="3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59" w:hRule="atLeast"/>
        </w:trPr>
        <w:tc>
          <w:tcPr>
            <w:tcW w:w="1794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ind w:left="141" w:leftChars="67" w:right="176" w:rightChars="84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8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英文名称</w:t>
            </w:r>
          </w:p>
        </w:tc>
        <w:tc>
          <w:tcPr>
            <w:tcW w:w="50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04" w:hRule="atLeast"/>
        </w:trPr>
        <w:tc>
          <w:tcPr>
            <w:tcW w:w="1794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ind w:left="141" w:leftChars="67" w:right="176" w:rightChars="84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中文名称</w:t>
            </w:r>
          </w:p>
        </w:tc>
        <w:tc>
          <w:tcPr>
            <w:tcW w:w="50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10" w:hRule="atLeast"/>
        </w:trPr>
        <w:tc>
          <w:tcPr>
            <w:tcW w:w="1794" w:type="dxa"/>
            <w:tcBorders>
              <w:right w:val="single" w:color="auto" w:sz="4" w:space="0"/>
            </w:tcBorders>
            <w:vAlign w:val="center"/>
          </w:tcPr>
          <w:p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1.3 任务来源</w:t>
            </w:r>
          </w:p>
        </w:tc>
        <w:tc>
          <w:tcPr>
            <w:tcW w:w="138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批准立项的文件名称和文件号</w:t>
            </w:r>
          </w:p>
        </w:tc>
        <w:tc>
          <w:tcPr>
            <w:tcW w:w="326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认监委关于下达《检验检测机构监督管理数据规范》等18项认证认可行业标准制修订计划项目的通知 国认监发〔2026〕6号</w:t>
            </w:r>
          </w:p>
        </w:tc>
        <w:tc>
          <w:tcPr>
            <w:tcW w:w="11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计划编号</w:t>
            </w:r>
          </w:p>
        </w:tc>
        <w:tc>
          <w:tcPr>
            <w:tcW w:w="1818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2026RB007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90" w:hRule="atLeast"/>
        </w:trPr>
        <w:tc>
          <w:tcPr>
            <w:tcW w:w="1794" w:type="dxa"/>
            <w:vAlign w:val="center"/>
          </w:tcPr>
          <w:p>
            <w:pPr>
              <w:spacing w:line="360" w:lineRule="exact"/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1.4制（修）订</w:t>
            </w:r>
          </w:p>
        </w:tc>
        <w:tc>
          <w:tcPr>
            <w:tcW w:w="7590" w:type="dxa"/>
            <w:gridSpan w:val="5"/>
            <w:vAlign w:val="center"/>
          </w:tcPr>
          <w:p>
            <w:pPr>
              <w:jc w:val="left"/>
              <w:rPr>
                <w:rFonts w:ascii="宋体" w:hAnsi="宋体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snapToGrid w:val="0"/>
                <w:color w:val="000000"/>
                <w:kern w:val="0"/>
                <w:szCs w:val="21"/>
                <w:lang w:eastAsia="zh-CN"/>
              </w:rPr>
              <w:t>☑</w:t>
            </w:r>
            <w:r>
              <w:rPr>
                <w:rFonts w:hint="eastAsia" w:ascii="宋体" w:hAnsi="宋体"/>
                <w:snapToGrid w:val="0"/>
                <w:color w:val="000000"/>
                <w:kern w:val="0"/>
                <w:szCs w:val="21"/>
              </w:rPr>
              <w:t>制定     □修订</w:t>
            </w:r>
            <w:r>
              <w:rPr>
                <w:rFonts w:hint="eastAsia" w:ascii="宋体" w:hAnsi="宋体"/>
                <w:szCs w:val="21"/>
              </w:rPr>
              <w:t>（被修订标准名称及编号：                      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45" w:hRule="atLeast"/>
        </w:trPr>
        <w:tc>
          <w:tcPr>
            <w:tcW w:w="1794" w:type="dxa"/>
            <w:vAlign w:val="center"/>
          </w:tcPr>
          <w:p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1.5 起止时间</w:t>
            </w:r>
          </w:p>
        </w:tc>
        <w:tc>
          <w:tcPr>
            <w:tcW w:w="7590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2026</w:t>
            </w:r>
            <w:r>
              <w:rPr>
                <w:rFonts w:ascii="宋体" w:hAnsi="宋体"/>
                <w:color w:val="000000"/>
                <w:szCs w:val="21"/>
              </w:rPr>
              <w:t>年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1</w:t>
            </w:r>
            <w:r>
              <w:rPr>
                <w:rFonts w:ascii="宋体" w:hAnsi="宋体"/>
                <w:color w:val="000000"/>
                <w:szCs w:val="21"/>
              </w:rPr>
              <w:t>月---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2026</w:t>
            </w:r>
            <w:r>
              <w:rPr>
                <w:rFonts w:ascii="宋体" w:hAnsi="宋体"/>
                <w:color w:val="000000"/>
                <w:szCs w:val="21"/>
              </w:rPr>
              <w:t>年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12</w:t>
            </w:r>
            <w:r>
              <w:rPr>
                <w:rFonts w:ascii="宋体" w:hAnsi="宋体"/>
                <w:color w:val="000000"/>
                <w:szCs w:val="21"/>
              </w:rPr>
              <w:t>月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946" w:hRule="atLeast"/>
        </w:trPr>
        <w:tc>
          <w:tcPr>
            <w:tcW w:w="1794" w:type="dxa"/>
            <w:vAlign w:val="center"/>
          </w:tcPr>
          <w:p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 xml:space="preserve">1.6 </w:t>
            </w:r>
            <w:r>
              <w:rPr>
                <w:rFonts w:hint="eastAsia" w:ascii="宋体" w:hAnsi="宋体"/>
                <w:color w:val="000000"/>
                <w:szCs w:val="21"/>
                <w:highlight w:val="none"/>
              </w:rPr>
              <w:t>标准起草</w:t>
            </w:r>
            <w:r>
              <w:rPr>
                <w:rFonts w:ascii="宋体" w:hAnsi="宋体"/>
                <w:color w:val="000000"/>
                <w:szCs w:val="21"/>
                <w:highlight w:val="none"/>
              </w:rPr>
              <w:t>单位</w:t>
            </w:r>
          </w:p>
        </w:tc>
        <w:tc>
          <w:tcPr>
            <w:tcW w:w="7590" w:type="dxa"/>
            <w:gridSpan w:val="5"/>
            <w:vAlign w:val="center"/>
          </w:tcPr>
          <w:p>
            <w:pPr>
              <w:jc w:val="both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国家市场监督管理总局认证认可技术研究中心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、北京建筑材料检验研究院股份有限公司、中家院（北京）检测认证有限公司、中国国检测试控股集团股份有限公司、中联品检（北京）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检验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技术有限公司、云南省珠宝玉石质量监督检验研究院、广东产品质量监督检验研究院、中国汽车工程研究院股份有限公司、襄阳达安汽车检测中心有限公司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306" w:hRule="atLeast"/>
        </w:trPr>
        <w:tc>
          <w:tcPr>
            <w:tcW w:w="1794" w:type="dxa"/>
            <w:vAlign w:val="center"/>
          </w:tcPr>
          <w:p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 xml:space="preserve">1.7 </w:t>
            </w:r>
            <w:r>
              <w:rPr>
                <w:rFonts w:ascii="宋体" w:hAnsi="宋体"/>
                <w:color w:val="000000"/>
                <w:szCs w:val="21"/>
                <w:highlight w:val="none"/>
              </w:rPr>
              <w:t>起草</w:t>
            </w:r>
            <w:r>
              <w:rPr>
                <w:rFonts w:hint="eastAsia" w:ascii="宋体" w:hAnsi="宋体"/>
                <w:color w:val="000000"/>
                <w:szCs w:val="21"/>
                <w:highlight w:val="none"/>
              </w:rPr>
              <w:t>组成员</w:t>
            </w:r>
          </w:p>
        </w:tc>
        <w:tc>
          <w:tcPr>
            <w:tcW w:w="7590" w:type="dxa"/>
            <w:gridSpan w:val="5"/>
            <w:vAlign w:val="center"/>
          </w:tcPr>
          <w:p>
            <w:pPr>
              <w:jc w:val="both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张博、马琳、于祖龙、苏涛、陈军营、张焕、陈静韬、吴俊纯、唐旭、曾志成、王茂华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379" w:hRule="exact"/>
        </w:trPr>
        <w:tc>
          <w:tcPr>
            <w:tcW w:w="1794" w:type="dxa"/>
            <w:tcBorders>
              <w:bottom w:val="single" w:color="auto" w:sz="4" w:space="0"/>
            </w:tcBorders>
            <w:vAlign w:val="center"/>
          </w:tcPr>
          <w:p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  <w:highlight w:val="none"/>
              </w:rPr>
              <w:t>1.</w:t>
            </w:r>
            <w:r>
              <w:rPr>
                <w:rFonts w:hint="eastAsia" w:ascii="宋体" w:hAnsi="宋体"/>
                <w:color w:val="000000"/>
                <w:szCs w:val="21"/>
                <w:highlight w:val="none"/>
              </w:rPr>
              <w:t>8标准体系表内编号</w:t>
            </w:r>
          </w:p>
        </w:tc>
        <w:tc>
          <w:tcPr>
            <w:tcW w:w="7590" w:type="dxa"/>
            <w:gridSpan w:val="5"/>
            <w:tcBorders>
              <w:bottom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570" w:hRule="exact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</w:t>
            </w:r>
            <w:r>
              <w:rPr>
                <w:rFonts w:hint="eastAsia" w:ascii="宋体" w:hAnsi="宋体"/>
                <w:color w:val="000000"/>
                <w:szCs w:val="21"/>
              </w:rPr>
              <w:t>9</w:t>
            </w:r>
            <w:r>
              <w:rPr>
                <w:rFonts w:ascii="宋体" w:hAnsi="宋体"/>
                <w:color w:val="000000"/>
                <w:szCs w:val="21"/>
              </w:rPr>
              <w:t>调整情况</w:t>
            </w:r>
          </w:p>
        </w:tc>
        <w:tc>
          <w:tcPr>
            <w:tcW w:w="759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无</w:t>
            </w:r>
          </w:p>
        </w:tc>
      </w:tr>
    </w:tbl>
    <w:p>
      <w:pPr>
        <w:rPr>
          <w:rFonts w:eastAsia="仿宋_GB2312"/>
          <w:b/>
          <w:color w:val="000000"/>
          <w:kern w:val="0"/>
          <w:sz w:val="32"/>
        </w:rPr>
      </w:pPr>
    </w:p>
    <w:tbl>
      <w:tblPr>
        <w:tblStyle w:val="38"/>
        <w:tblpPr w:leftFromText="180" w:rightFromText="180" w:vertAnchor="text" w:horzAnchor="margin" w:tblpXSpec="center" w:tblpY="169"/>
        <w:tblW w:w="9384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794"/>
        <w:gridCol w:w="759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485" w:hRule="exact"/>
        </w:trPr>
        <w:tc>
          <w:tcPr>
            <w:tcW w:w="93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2、背景情况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6437" w:hRule="atLeast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36" w:rightChars="17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2.1 目的、意义</w:t>
            </w:r>
          </w:p>
          <w:p>
            <w:pPr>
              <w:ind w:left="141" w:leftChars="67" w:right="36" w:rightChars="17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（工作开展背景及要求）</w:t>
            </w:r>
          </w:p>
        </w:tc>
        <w:tc>
          <w:tcPr>
            <w:tcW w:w="759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 w:firstLineChars="200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检验检测报告是检验检测活动的最终输出成果，是传递结果、支撑监管、服务社会的重要载体。近年来，我国检验检测市场快速发展，202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color w:val="000000"/>
                <w:szCs w:val="21"/>
              </w:rPr>
              <w:t>年全年检验检测机构向社会出具检验检测报告共5.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/>
                <w:color w:val="000000"/>
                <w:szCs w:val="21"/>
              </w:rPr>
              <w:t>1亿份，但报告格式不统一、内容不规范等问题日益凸显。一是从行业发展看，报告格式杂乱制约机构规范化建设，部分机构报告要素缺失、表述模糊、签章不全，影响行业整体形象和质量管理体系完善；二是从监管需求看，格式不统一增加监管核查难度，随着智慧监管加速推广，各机构报告关键信息字段位置不固定、命名不统一，导致监管系统难以自动抓取核验，大量核查仍依赖人工；三是从应用便利看，报告专业性强且格式多样影响使用方阅读理解，使用方需花费大量时间熟悉不同格式才能准确提取信息，影响结果的有效传递和便捷使用；四是从文件现状看，GB/T 27025《检测和校准实验室能力的通用要求》、《检验检测机构资质认定评审准则》等虽对检验检测报告内容的必备要素提出了原则性要求，但未对报告的具体格式、内容构成、编排方式等作出统一规定。</w:t>
            </w:r>
          </w:p>
          <w:p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为从根本上解决上述问题，亟需制定一部统一的《检验检测报告格式规范》行业标准，明确报告的构成要素、格式要求、内容规范、签章规则等，为各类检验检测机构提供可操作的技术依据，也为监管机构开展报告质量抽查提供统一尺度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12" w:hRule="exact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36" w:rightChars="17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2.2 与国内外相关标准、文献的关系</w:t>
            </w:r>
          </w:p>
        </w:tc>
        <w:tc>
          <w:tcPr>
            <w:tcW w:w="7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（1）国内标准</w:t>
            </w:r>
          </w:p>
          <w:p>
            <w:pPr>
              <w:ind w:firstLine="42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GB/T 27020《合格评定 各类检验机构的运作要求》、GB/T 27025《检测和校准实验室能力的通用要求》、《检验检测机构资质认定评审准则》、《检验检测机构监督管理办法》、《检验检测机构资质认定管理办法》等标准及法规对检验检测报告的必备要素、管理要求作出了原则性规定，但未对报告的具体格式、内容构成、编排方式、签章规则等提出统一的技术要求。本标准在现有规范基础上进一步细化，填补了报告格式层面的标准空白。</w:t>
            </w:r>
          </w:p>
          <w:p>
            <w:pPr>
              <w:rPr>
                <w:rFonts w:hint="eastAsia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（2）国际标准</w:t>
            </w:r>
          </w:p>
          <w:p>
            <w:pPr>
              <w:ind w:firstLine="42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本标准未采用国际标准，主要结合我国检验检测行业实际，参照国际通行的报告编制原则（如清晰性、完整性、可追溯性），在结构设计与内容要求上与ISO/IEC 17025等国际标准的理念保持一致。</w:t>
            </w:r>
          </w:p>
          <w:p>
            <w:pPr>
              <w:rPr>
                <w:rFonts w:hint="eastAsia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（3）文献依据</w:t>
            </w:r>
          </w:p>
          <w:p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项目组收集了近年来检验检测行业监管通报、机构报告样本、智慧监管平台数据字段需求等文献资料，充分吸收了行业实践中的共性问题和监管需求。</w:t>
            </w:r>
          </w:p>
        </w:tc>
      </w:tr>
    </w:tbl>
    <w:p>
      <w:pPr>
        <w:rPr>
          <w:rFonts w:eastAsia="仿宋_GB2312"/>
          <w:b/>
          <w:color w:val="000000"/>
          <w:kern w:val="0"/>
          <w:sz w:val="32"/>
        </w:rPr>
      </w:pPr>
    </w:p>
    <w:tbl>
      <w:tblPr>
        <w:tblStyle w:val="38"/>
        <w:tblpPr w:leftFromText="180" w:rightFromText="180" w:vertAnchor="text" w:horzAnchor="margin" w:tblpXSpec="center" w:tblpY="169"/>
        <w:tblW w:w="9428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970"/>
        <w:gridCol w:w="7458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02" w:hRule="exact"/>
        </w:trPr>
        <w:tc>
          <w:tcPr>
            <w:tcW w:w="94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3  编制过程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551" w:hRule="atLeast"/>
        </w:trPr>
        <w:tc>
          <w:tcPr>
            <w:tcW w:w="197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3.</w:t>
            </w:r>
            <w:r>
              <w:rPr>
                <w:rFonts w:hint="eastAsia" w:ascii="宋体" w:hAnsi="宋体"/>
                <w:color w:val="000000"/>
                <w:szCs w:val="21"/>
              </w:rPr>
              <w:t>1</w:t>
            </w:r>
            <w:r>
              <w:rPr>
                <w:rFonts w:ascii="宋体" w:hAnsi="宋体"/>
                <w:color w:val="000000"/>
                <w:szCs w:val="21"/>
              </w:rPr>
              <w:t xml:space="preserve"> </w:t>
            </w:r>
            <w:r>
              <w:rPr>
                <w:rFonts w:ascii="宋体" w:hAnsi="宋体"/>
                <w:color w:val="000000"/>
                <w:szCs w:val="21"/>
                <w:highlight w:val="none"/>
              </w:rPr>
              <w:t>分工情况</w:t>
            </w:r>
          </w:p>
        </w:tc>
        <w:tc>
          <w:tcPr>
            <w:tcW w:w="7458" w:type="dxa"/>
            <w:tcBorders>
              <w:bottom w:val="single" w:color="auto" w:sz="4" w:space="0"/>
            </w:tcBorders>
            <w:vAlign w:val="center"/>
          </w:tcPr>
          <w:p>
            <w:pPr>
              <w:rPr>
                <w:rFonts w:hint="eastAsia" w:ascii="宋体" w:hAnsi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  <w:lang w:val="en-US" w:eastAsia="zh-CN"/>
              </w:rPr>
              <w:t>标准的整体架构由起草小组共同确定；</w:t>
            </w:r>
          </w:p>
          <w:p>
            <w:pPr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  <w:lang w:val="en-US" w:eastAsia="zh-CN"/>
              </w:rPr>
              <w:t>张博</w:t>
            </w:r>
            <w:r>
              <w:rPr>
                <w:rFonts w:hint="eastAsia" w:ascii="宋体" w:hAnsi="宋体"/>
                <w:color w:val="000000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Cs w:val="21"/>
                <w:highlight w:val="none"/>
                <w:lang w:val="en-US" w:eastAsia="zh-CN"/>
              </w:rPr>
              <w:t>马琳、于祖龙、苏涛、王茂华负责政策、相关法律法规的收集和标准的起草工作；陈军营、张焕、陈静韬、吴俊纯、唐旭、曾志成</w:t>
            </w:r>
            <w:r>
              <w:rPr>
                <w:rFonts w:hint="eastAsia" w:ascii="宋体" w:hAnsi="宋体"/>
                <w:color w:val="000000"/>
                <w:szCs w:val="21"/>
                <w:highlight w:val="none"/>
              </w:rPr>
              <w:t>负责协助在各自的研究领域收集相关文献资料、参与标准的修改，完善。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611" w:hRule="atLeast"/>
        </w:trPr>
        <w:tc>
          <w:tcPr>
            <w:tcW w:w="197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3.</w:t>
            </w:r>
            <w:r>
              <w:rPr>
                <w:rFonts w:hint="eastAsia" w:ascii="宋体" w:hAnsi="宋体"/>
                <w:color w:val="000000"/>
                <w:szCs w:val="21"/>
              </w:rPr>
              <w:t>2起草阶段</w:t>
            </w:r>
          </w:p>
        </w:tc>
        <w:tc>
          <w:tcPr>
            <w:tcW w:w="7458" w:type="dxa"/>
            <w:tcBorders>
              <w:bottom w:val="single" w:color="auto" w:sz="4" w:space="0"/>
            </w:tcBorders>
            <w:vAlign w:val="center"/>
          </w:tcPr>
          <w:p>
            <w:pPr>
              <w:rPr>
                <w:rFonts w:hint="eastAsia" w:cs="Times New Roman"/>
                <w:kern w:val="0"/>
                <w:szCs w:val="21"/>
                <w:lang w:val="en-US" w:bidi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2026年1月，</w:t>
            </w:r>
            <w:r>
              <w:rPr>
                <w:rFonts w:hint="eastAsia" w:ascii="Times New Roman" w:hAnsi="Times New Roman" w:eastAsia="宋体" w:cs="Times New Roman"/>
                <w:kern w:val="0"/>
                <w:szCs w:val="21"/>
                <w:lang w:val="zh-CN" w:bidi="zh-CN"/>
              </w:rPr>
              <w:t>组建工作</w:t>
            </w:r>
            <w:r>
              <w:rPr>
                <w:rFonts w:hint="eastAsia" w:cs="Times New Roman"/>
                <w:kern w:val="0"/>
                <w:szCs w:val="21"/>
                <w:lang w:val="en-US" w:bidi="zh-CN"/>
              </w:rPr>
              <w:t>组；</w:t>
            </w:r>
          </w:p>
          <w:p>
            <w:pPr>
              <w:rPr>
                <w:rFonts w:hint="eastAsia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2026年2月—2026年4月，起草小组开展了调研和资料收集等基础工作；</w:t>
            </w:r>
          </w:p>
          <w:p>
            <w:pPr>
              <w:rPr>
                <w:rFonts w:hint="eastAsia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2026年5月—2026年7月，依照《标准化工作导则 第一部分：标准的结构和编写》（GB/T 1.1-2020）的要求，进行了标准草案编写工作。</w:t>
            </w:r>
          </w:p>
          <w:p>
            <w:pPr>
              <w:rPr>
                <w:rFonts w:hint="default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2026年8月，选取典型机构开展应用。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526" w:hRule="atLeast"/>
        </w:trPr>
        <w:tc>
          <w:tcPr>
            <w:tcW w:w="1970" w:type="dxa"/>
            <w:tcBorders>
              <w:top w:val="single" w:color="auto" w:sz="4" w:space="0"/>
              <w:bottom w:val="single" w:color="auto" w:sz="6" w:space="0"/>
            </w:tcBorders>
            <w:vAlign w:val="center"/>
          </w:tcPr>
          <w:p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3.</w:t>
            </w:r>
            <w:r>
              <w:rPr>
                <w:rFonts w:hint="eastAsia" w:ascii="宋体" w:hAnsi="宋体"/>
                <w:color w:val="000000"/>
                <w:szCs w:val="21"/>
              </w:rPr>
              <w:t>3征求意见阶段</w:t>
            </w:r>
          </w:p>
        </w:tc>
        <w:tc>
          <w:tcPr>
            <w:tcW w:w="7458" w:type="dxa"/>
            <w:tcBorders>
              <w:top w:val="single" w:color="auto" w:sz="4" w:space="0"/>
              <w:bottom w:val="single" w:color="auto" w:sz="6" w:space="0"/>
            </w:tcBorders>
            <w:vAlign w:val="center"/>
          </w:tcPr>
          <w:p>
            <w:pPr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2026年9月-2026年10月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814" w:hRule="atLeast"/>
        </w:trPr>
        <w:tc>
          <w:tcPr>
            <w:tcW w:w="197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  <w:highlight w:val="none"/>
              </w:rPr>
              <w:t>3.</w:t>
            </w:r>
            <w:r>
              <w:rPr>
                <w:rFonts w:hint="eastAsia" w:ascii="宋体" w:hAnsi="宋体"/>
                <w:color w:val="000000"/>
                <w:szCs w:val="21"/>
                <w:highlight w:val="none"/>
              </w:rPr>
              <w:t>4标准预审查阶段</w:t>
            </w:r>
          </w:p>
        </w:tc>
        <w:tc>
          <w:tcPr>
            <w:tcW w:w="7458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left"/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未启动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439" w:hRule="atLeast"/>
        </w:trPr>
        <w:tc>
          <w:tcPr>
            <w:tcW w:w="197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szCs w:val="21"/>
                <w:highlight w:val="none"/>
              </w:rPr>
              <w:t>.5标准审查阶段</w:t>
            </w:r>
          </w:p>
        </w:tc>
        <w:tc>
          <w:tcPr>
            <w:tcW w:w="7458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left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未启动</w:t>
            </w:r>
          </w:p>
        </w:tc>
      </w:tr>
    </w:tbl>
    <w:p>
      <w:pPr>
        <w:rPr>
          <w:rFonts w:eastAsia="仿宋_GB2312"/>
          <w:b/>
          <w:color w:val="000000"/>
          <w:kern w:val="0"/>
          <w:sz w:val="32"/>
        </w:rPr>
      </w:pPr>
      <w:r>
        <w:rPr>
          <w:rFonts w:eastAsia="仿宋_GB2312"/>
          <w:b/>
          <w:color w:val="000000"/>
          <w:kern w:val="0"/>
          <w:sz w:val="32"/>
        </w:rPr>
        <w:br w:type="page"/>
      </w:r>
    </w:p>
    <w:tbl>
      <w:tblPr>
        <w:tblStyle w:val="38"/>
        <w:tblpPr w:leftFromText="180" w:rightFromText="180" w:vertAnchor="text" w:horzAnchor="margin" w:tblpXSpec="center" w:tblpY="169"/>
        <w:tblW w:w="9625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625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53" w:hRule="atLeast"/>
        </w:trPr>
        <w:tc>
          <w:tcPr>
            <w:tcW w:w="9625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4  主要技术内容的确定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2691" w:hRule="atLeast"/>
        </w:trPr>
        <w:tc>
          <w:tcPr>
            <w:tcW w:w="9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本标准分为10部分，主要内容如下：</w:t>
            </w:r>
          </w:p>
          <w:p>
            <w:pPr>
              <w:rPr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1.范围</w:t>
            </w:r>
          </w:p>
          <w:p>
            <w:pPr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介绍本标准规定的主要内容（术语定义、总则、构成要素、格式编排要求、内容要求、编制审核批准、修改补充更正、存档保存），以及本标准适用的领域（各类检验检测机构的报告格式规范化工作），并说明特定领域可据此制定更具体的实施细则。</w:t>
            </w:r>
          </w:p>
          <w:p>
            <w:pPr>
              <w:rPr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2.规范性引用文件</w:t>
            </w:r>
          </w:p>
          <w:p>
            <w:pPr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列出了本标准引用的GB/T 27020《合格评定 各类检验机构的运作要求》和GB/T 27025《检测和校准实验室能力的通用要求》，这些文件的部分条款构成本标准必不可少的组成部分。</w:t>
            </w:r>
          </w:p>
          <w:p>
            <w:pPr>
              <w:rPr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szCs w:val="21"/>
              </w:rPr>
              <w:t>3.术语和定义</w:t>
            </w:r>
          </w:p>
          <w:p>
            <w:pPr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为便于对标准条文的理解，对“检验检测报告”“唯一性标识”“监督抽查”“委托类检验”等4个核心术语进行了定义，并与GB/T 27020、GB/T 27025界定的相关术语共同适用于本标准。</w:t>
            </w:r>
          </w:p>
          <w:p>
            <w:pPr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1"/>
              </w:rPr>
              <w:t>4.总则</w:t>
            </w:r>
          </w:p>
          <w:p>
            <w:pPr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提出了检验检测报告应遵循的四项基本原则：格式统一、结构清晰、内容完整、表述准确；过程和结果应真实客观，不得含有误导性或歧义性信息；便于客户理解、使用和存档，鼓励电子报告并确保其同等效力；多语种版本应保持结构、内容和印制要求一致。</w:t>
            </w:r>
          </w:p>
          <w:p>
            <w:pPr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1"/>
              </w:rPr>
              <w:t>5.构成要素</w:t>
            </w:r>
          </w:p>
          <w:p>
            <w:pPr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明确了检验检测报告的构成要素，分为两类：必备要素（报告标题、唯一性标识、机构信息、客户信息、样品描述、日期信息、检测方法识别、检测结果、批准人签名、结果仅对样品有效的声明、禁止复制声明、检测活动地点等12项）和特定要素（分包信息、抽样信息、测量不确定度、方法偏离说明、环境条件记录、认证认可标识、仪器设备状态、符合性声明、客户提供信息免责声明等11项，根据具体情况选用）。</w:t>
            </w:r>
          </w:p>
          <w:p>
            <w:pPr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1"/>
              </w:rPr>
              <w:t>6.格式与编排要求</w:t>
            </w:r>
          </w:p>
          <w:p>
            <w:pPr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规定了报告编排应有序、版面整洁、易于阅读；宜采用A4幅面纸张，封面和封底不计页码，自首页起以“第x页 共x页”格式编排；正文应使用宋体、仿宋、楷体等标准字体，标题与正文字号应有明显区分，鼓励机构形成受控的字体字号质量文件。</w:t>
            </w:r>
          </w:p>
          <w:p>
            <w:pPr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1"/>
              </w:rPr>
              <w:t>7.内容要求</w:t>
            </w:r>
          </w:p>
          <w:p>
            <w:pPr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分别对报告的各组成部分规定了详细的内容要求：封面（报告标题、编号、委托方名称、产品名称、检测类别、机构名称等）、首页（基本信息、委托信息、样品信息、抽样信息、结论与说明、备注信息等）、检验检测信息页（项目序号、项目名称、检测方法、技术指标要求、检测数据/结果、单项评价、附注信息等）、封底（声明事项）以及签章与签发（批准人签字、签发日期、资质标志、印章及骑缝章施加要求）。</w:t>
            </w:r>
          </w:p>
          <w:p>
            <w:pPr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1"/>
              </w:rPr>
              <w:t>8.编制、审核与批准</w:t>
            </w:r>
          </w:p>
          <w:p>
            <w:pPr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规定了报告的编制/主检、审核、批准应由具备相应资格和能力的人员执行，并保留相关记录，确保报告质量。</w:t>
            </w:r>
          </w:p>
          <w:p>
            <w:pPr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1"/>
              </w:rPr>
              <w:t>9.修改、补充与更正</w:t>
            </w:r>
          </w:p>
          <w:p>
            <w:pPr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规定了对已签发报告的修改和补充，应以追加文件、重新出具等方式进行，并明确标识“修改/补充/重出”，确保原报告可被识别和追溯，修改过程应保留记录。</w:t>
            </w:r>
          </w:p>
          <w:p>
            <w:pPr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1"/>
              </w:rPr>
              <w:t>10.存档与保存</w:t>
            </w:r>
          </w:p>
          <w:p>
            <w:pPr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规定了报告的原始记录、编制审核记录及最终版本（包括电子版）应按照管理体系要求和安全保密规定进行存档，保存期限应符合相关法律法规和合同要求。</w:t>
            </w:r>
          </w:p>
          <w:p>
            <w:pPr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1"/>
              </w:rPr>
              <w:t>附录A（资料性）</w:t>
            </w:r>
          </w:p>
          <w:p>
            <w:pPr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以表格形式给出了报告各组成部分（封面页、首页、数据页、附件页、声明页）的文字内容对应的推荐字号和字体，供机构参考执行。</w:t>
            </w:r>
          </w:p>
          <w:p>
            <w:pPr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1"/>
              </w:rPr>
              <w:t>附录B（资料性）</w:t>
            </w:r>
          </w:p>
          <w:p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以模板示例形式给出了检验检测报告（封面、委托送样首页、委托抽样首页、检验检测信息页、封底）的实际排版样式，供机构参照设计。</w:t>
            </w:r>
          </w:p>
        </w:tc>
      </w:tr>
    </w:tbl>
    <w:p>
      <w:pPr>
        <w:rPr>
          <w:rFonts w:eastAsia="仿宋_GB2312"/>
          <w:b/>
          <w:color w:val="000000"/>
          <w:kern w:val="0"/>
          <w:sz w:val="32"/>
        </w:rPr>
      </w:pPr>
    </w:p>
    <w:tbl>
      <w:tblPr>
        <w:tblStyle w:val="38"/>
        <w:tblpPr w:leftFromText="180" w:rightFromText="180" w:vertAnchor="text" w:horzAnchor="margin" w:tblpXSpec="center" w:tblpY="169"/>
        <w:tblW w:w="9625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800"/>
        <w:gridCol w:w="6"/>
        <w:gridCol w:w="3853"/>
        <w:gridCol w:w="1315"/>
        <w:gridCol w:w="2651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490" w:hRule="atLeast"/>
        </w:trPr>
        <w:tc>
          <w:tcPr>
            <w:tcW w:w="962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 xml:space="preserve">5  </w:t>
            </w:r>
            <w:r>
              <w:rPr>
                <w:rFonts w:hint="eastAsia" w:ascii="宋体" w:hAnsi="宋体"/>
                <w:b/>
                <w:color w:val="000000"/>
                <w:szCs w:val="21"/>
                <w:highlight w:val="none"/>
              </w:rPr>
              <w:t>验证情况</w:t>
            </w:r>
            <w:r>
              <w:rPr>
                <w:rFonts w:hint="eastAsia" w:ascii="宋体" w:hAnsi="宋体"/>
                <w:b/>
                <w:color w:val="000000"/>
                <w:szCs w:val="21"/>
              </w:rPr>
              <w:t>（基础类标准除外）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85" w:hRule="atLeast"/>
        </w:trPr>
        <w:tc>
          <w:tcPr>
            <w:tcW w:w="18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48" w:rightChars="23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5.1 验证单位情况</w:t>
            </w:r>
          </w:p>
        </w:tc>
        <w:tc>
          <w:tcPr>
            <w:tcW w:w="38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验证单位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验证人员</w:t>
            </w: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验证时间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435" w:hRule="atLeast"/>
        </w:trPr>
        <w:tc>
          <w:tcPr>
            <w:tcW w:w="18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8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48" w:rightChars="23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安徽中认倍佳科技有限公司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李  旸</w:t>
            </w: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righ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2026</w:t>
            </w:r>
            <w:r>
              <w:rPr>
                <w:rFonts w:ascii="宋体" w:hAnsi="宋体"/>
                <w:color w:val="000000"/>
                <w:szCs w:val="21"/>
              </w:rPr>
              <w:t>年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8</w:t>
            </w:r>
            <w:r>
              <w:rPr>
                <w:rFonts w:ascii="宋体" w:hAnsi="宋体"/>
                <w:color w:val="000000"/>
                <w:szCs w:val="21"/>
              </w:rPr>
              <w:t>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18</w:t>
            </w:r>
            <w:r>
              <w:rPr>
                <w:rFonts w:ascii="宋体" w:hAnsi="宋体"/>
                <w:color w:val="000000"/>
                <w:szCs w:val="21"/>
              </w:rPr>
              <w:t>日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35" w:hRule="atLeast"/>
        </w:trPr>
        <w:tc>
          <w:tcPr>
            <w:tcW w:w="18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8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48" w:rightChars="23"/>
              <w:jc w:val="center"/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河北省绿色建材产品质量检测有限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王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color w:val="000000"/>
                <w:szCs w:val="21"/>
              </w:rPr>
              <w:t>瑛</w:t>
            </w: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righ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2026</w:t>
            </w:r>
            <w:r>
              <w:rPr>
                <w:rFonts w:ascii="宋体" w:hAnsi="宋体"/>
                <w:color w:val="000000"/>
                <w:szCs w:val="21"/>
              </w:rPr>
              <w:t>年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8</w:t>
            </w:r>
            <w:r>
              <w:rPr>
                <w:rFonts w:ascii="宋体" w:hAnsi="宋体"/>
                <w:color w:val="000000"/>
                <w:szCs w:val="21"/>
              </w:rPr>
              <w:t>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17</w:t>
            </w:r>
            <w:r>
              <w:rPr>
                <w:rFonts w:ascii="宋体" w:hAnsi="宋体"/>
                <w:color w:val="000000"/>
                <w:szCs w:val="21"/>
              </w:rPr>
              <w:t>日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35" w:hRule="atLeast"/>
        </w:trPr>
        <w:tc>
          <w:tcPr>
            <w:tcW w:w="18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8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天津市贰拾壹站检测技术有限公司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徐一飞</w:t>
            </w: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righ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2026</w:t>
            </w:r>
            <w:r>
              <w:rPr>
                <w:rFonts w:ascii="宋体" w:hAnsi="宋体"/>
                <w:color w:val="000000"/>
                <w:szCs w:val="21"/>
              </w:rPr>
              <w:t>年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8</w:t>
            </w:r>
            <w:r>
              <w:rPr>
                <w:rFonts w:ascii="宋体" w:hAnsi="宋体"/>
                <w:color w:val="000000"/>
                <w:szCs w:val="21"/>
              </w:rPr>
              <w:t>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15</w:t>
            </w:r>
            <w:r>
              <w:rPr>
                <w:rFonts w:ascii="宋体" w:hAnsi="宋体"/>
                <w:color w:val="000000"/>
                <w:szCs w:val="21"/>
              </w:rPr>
              <w:t>日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35" w:hRule="atLeast"/>
        </w:trPr>
        <w:tc>
          <w:tcPr>
            <w:tcW w:w="18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8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48" w:rightChars="23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中电科尊冠（北京）检测认证有限公司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周会芬</w:t>
            </w: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right"/>
              <w:rPr>
                <w:rFonts w:hint="eastAsia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2026</w:t>
            </w:r>
            <w:r>
              <w:rPr>
                <w:rFonts w:ascii="宋体" w:hAnsi="宋体"/>
                <w:color w:val="000000"/>
                <w:szCs w:val="21"/>
              </w:rPr>
              <w:t>年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8</w:t>
            </w:r>
            <w:r>
              <w:rPr>
                <w:rFonts w:ascii="宋体" w:hAnsi="宋体"/>
                <w:color w:val="000000"/>
                <w:szCs w:val="21"/>
              </w:rPr>
              <w:t>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18</w:t>
            </w:r>
            <w:r>
              <w:rPr>
                <w:rFonts w:ascii="宋体" w:hAnsi="宋体"/>
                <w:color w:val="000000"/>
                <w:szCs w:val="21"/>
              </w:rPr>
              <w:t>日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35" w:hRule="atLeast"/>
        </w:trPr>
        <w:tc>
          <w:tcPr>
            <w:tcW w:w="18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8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48" w:rightChars="23"/>
              <w:jc w:val="center"/>
              <w:rPr>
                <w:rFonts w:hint="eastAsia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北京市产品质量监督检验研究院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张  楠</w:t>
            </w: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right"/>
              <w:rPr>
                <w:rFonts w:hint="eastAsia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2026</w:t>
            </w:r>
            <w:r>
              <w:rPr>
                <w:rFonts w:ascii="宋体" w:hAnsi="宋体"/>
                <w:color w:val="000000"/>
                <w:szCs w:val="21"/>
              </w:rPr>
              <w:t>年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8</w:t>
            </w:r>
            <w:r>
              <w:rPr>
                <w:rFonts w:ascii="宋体" w:hAnsi="宋体"/>
                <w:color w:val="000000"/>
                <w:szCs w:val="21"/>
              </w:rPr>
              <w:t>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18</w:t>
            </w:r>
            <w:r>
              <w:rPr>
                <w:rFonts w:ascii="宋体" w:hAnsi="宋体"/>
                <w:color w:val="000000"/>
                <w:szCs w:val="21"/>
              </w:rPr>
              <w:t>日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776" w:hRule="atLeast"/>
        </w:trPr>
        <w:tc>
          <w:tcPr>
            <w:tcW w:w="18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48" w:rightChars="23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5.2</w:t>
            </w:r>
            <w:r>
              <w:rPr>
                <w:rFonts w:hint="eastAsia" w:ascii="宋体" w:hAnsi="宋体"/>
                <w:color w:val="000000"/>
                <w:szCs w:val="21"/>
              </w:rPr>
              <w:t>试验、</w:t>
            </w:r>
            <w:r>
              <w:rPr>
                <w:rFonts w:ascii="宋体" w:hAnsi="宋体"/>
                <w:color w:val="000000"/>
                <w:szCs w:val="21"/>
              </w:rPr>
              <w:t xml:space="preserve"> 验证</w:t>
            </w:r>
            <w:r>
              <w:rPr>
                <w:rFonts w:hint="eastAsia" w:ascii="宋体" w:hAnsi="宋体"/>
                <w:color w:val="000000"/>
                <w:szCs w:val="21"/>
              </w:rPr>
              <w:t>、试行</w:t>
            </w:r>
            <w:r>
              <w:rPr>
                <w:rFonts w:ascii="宋体" w:hAnsi="宋体"/>
                <w:color w:val="000000"/>
                <w:szCs w:val="21"/>
              </w:rPr>
              <w:t>过程</w:t>
            </w:r>
          </w:p>
        </w:tc>
        <w:tc>
          <w:tcPr>
            <w:tcW w:w="78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验证单位分别于2026年5月至8月期间，依据《检验检测报告格式规范》（草案稿）开展了试点应用工作。验证过程中，各单位均按标准要求对报告格式进行了试用和调整，并对标准内容的适用性、完整性和可操作性进行了实际检验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698" w:hRule="atLeast"/>
        </w:trPr>
        <w:tc>
          <w:tcPr>
            <w:tcW w:w="18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48" w:rightChars="23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5.3 验证数据分析</w:t>
            </w:r>
          </w:p>
        </w:tc>
        <w:tc>
          <w:tcPr>
            <w:tcW w:w="78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各验证单位在试点过程中均未提出重大修改意见，标准框架和技术要求在实际操作中运行良好，未发现结构性或执行性障碍。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505" w:hRule="atLeast"/>
        </w:trPr>
        <w:tc>
          <w:tcPr>
            <w:tcW w:w="18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48" w:rightChars="23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 xml:space="preserve">5.4 </w:t>
            </w:r>
            <w:r>
              <w:rPr>
                <w:rFonts w:hint="eastAsia" w:ascii="宋体" w:hAnsi="宋体"/>
                <w:color w:val="000000"/>
                <w:szCs w:val="21"/>
              </w:rPr>
              <w:t>试验、</w:t>
            </w:r>
            <w:r>
              <w:rPr>
                <w:rFonts w:ascii="宋体" w:hAnsi="宋体"/>
                <w:color w:val="000000"/>
                <w:szCs w:val="21"/>
              </w:rPr>
              <w:t>验证</w:t>
            </w:r>
            <w:r>
              <w:rPr>
                <w:rFonts w:hint="eastAsia" w:ascii="宋体" w:hAnsi="宋体"/>
                <w:color w:val="000000"/>
                <w:szCs w:val="21"/>
              </w:rPr>
              <w:t>、试行</w:t>
            </w:r>
            <w:r>
              <w:rPr>
                <w:rFonts w:ascii="宋体" w:hAnsi="宋体"/>
                <w:color w:val="000000"/>
                <w:szCs w:val="21"/>
              </w:rPr>
              <w:t>评价</w:t>
            </w:r>
          </w:p>
        </w:tc>
        <w:tc>
          <w:tcPr>
            <w:tcW w:w="78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  <w:t>综合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验证</w:t>
            </w:r>
            <w: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  <w:t>单位的应用实践证明，《检验检测报告格式规范》（草案稿）框架完整、技术要求明确、可操作性强，能够有效指导检验检测机构统一报告版式、完善报告要素、规范报告全流程管控。该标准贴合检验检测机构实际业务场景，在提升报告格式统一性、要素完整性和信息准确性方面效果显著，具备良好的实践应用与推广价值，建议进一步推广应用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026" w:hRule="atLeast"/>
        </w:trPr>
        <w:tc>
          <w:tcPr>
            <w:tcW w:w="18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48" w:rightChars="23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5.5 其他应说明的情况</w:t>
            </w:r>
          </w:p>
        </w:tc>
        <w:tc>
          <w:tcPr>
            <w:tcW w:w="78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/</w:t>
            </w:r>
          </w:p>
        </w:tc>
      </w:tr>
    </w:tbl>
    <w:p>
      <w:pPr>
        <w:rPr>
          <w:rFonts w:eastAsia="仿宋_GB2312"/>
          <w:b/>
          <w:color w:val="000000"/>
          <w:kern w:val="0"/>
          <w:sz w:val="32"/>
        </w:rPr>
      </w:pPr>
    </w:p>
    <w:p>
      <w:pPr>
        <w:rPr>
          <w:rFonts w:eastAsia="仿宋_GB2312"/>
          <w:b/>
          <w:color w:val="000000"/>
          <w:kern w:val="0"/>
          <w:sz w:val="32"/>
        </w:rPr>
      </w:pPr>
    </w:p>
    <w:p>
      <w:pPr>
        <w:rPr>
          <w:rFonts w:eastAsia="仿宋_GB2312"/>
          <w:b/>
          <w:color w:val="000000"/>
          <w:kern w:val="0"/>
          <w:sz w:val="32"/>
        </w:rPr>
      </w:pPr>
    </w:p>
    <w:tbl>
      <w:tblPr>
        <w:tblStyle w:val="38"/>
        <w:tblpPr w:leftFromText="180" w:rightFromText="180" w:vertAnchor="text" w:horzAnchor="margin" w:tblpXSpec="center" w:tblpY="169"/>
        <w:tblW w:w="9625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794"/>
        <w:gridCol w:w="6"/>
        <w:gridCol w:w="1288"/>
        <w:gridCol w:w="1080"/>
        <w:gridCol w:w="1620"/>
        <w:gridCol w:w="1440"/>
        <w:gridCol w:w="2397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8" w:hRule="atLeast"/>
        </w:trPr>
        <w:tc>
          <w:tcPr>
            <w:tcW w:w="962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宋体" w:hAnsi="宋体"/>
                <w:b/>
                <w:color w:val="000000"/>
                <w:szCs w:val="21"/>
              </w:rPr>
            </w:pPr>
            <w:bookmarkStart w:id="0" w:name="_GoBack"/>
            <w:bookmarkEnd w:id="0"/>
            <w:r>
              <w:rPr>
                <w:rFonts w:hint="eastAsia" w:ascii="宋体" w:hAnsi="宋体"/>
                <w:b/>
                <w:color w:val="000000"/>
                <w:szCs w:val="21"/>
              </w:rPr>
              <w:t>6  附加说明（可选项）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701" w:hRule="atLeast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6.1 宣贯标准的建议</w:t>
            </w:r>
          </w:p>
        </w:tc>
        <w:tc>
          <w:tcPr>
            <w:tcW w:w="783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838" w:hRule="atLeast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6.2 修订和废除现行有关标准的建议</w:t>
            </w:r>
          </w:p>
        </w:tc>
        <w:tc>
          <w:tcPr>
            <w:tcW w:w="783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734" w:hRule="atLeast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6.</w:t>
            </w:r>
            <w:r>
              <w:rPr>
                <w:rFonts w:hint="eastAsia" w:ascii="宋体" w:hAnsi="宋体"/>
                <w:color w:val="000000"/>
                <w:szCs w:val="21"/>
              </w:rPr>
              <w:t>3重大分歧意见的处理经过和依据</w:t>
            </w:r>
          </w:p>
        </w:tc>
        <w:tc>
          <w:tcPr>
            <w:tcW w:w="783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670" w:hRule="atLeast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6.4 其他需要说明的情况</w:t>
            </w:r>
          </w:p>
        </w:tc>
        <w:tc>
          <w:tcPr>
            <w:tcW w:w="783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721" w:hRule="atLeast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6.5 参考文献</w:t>
            </w:r>
          </w:p>
        </w:tc>
        <w:tc>
          <w:tcPr>
            <w:tcW w:w="783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95" w:hRule="atLeast"/>
        </w:trPr>
        <w:tc>
          <w:tcPr>
            <w:tcW w:w="18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联系人</w:t>
            </w:r>
          </w:p>
        </w:tc>
        <w:tc>
          <w:tcPr>
            <w:tcW w:w="1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张博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联系电话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82261365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电子邮箱</w:t>
            </w:r>
          </w:p>
        </w:tc>
        <w:tc>
          <w:tcPr>
            <w:tcW w:w="2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Zhangb@ccai.org.cn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95" w:hRule="atLeast"/>
        </w:trPr>
        <w:tc>
          <w:tcPr>
            <w:tcW w:w="962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pacing w:before="60" w:line="360" w:lineRule="auto"/>
              <w:ind w:firstLine="441" w:firstLineChars="21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注1：本</w:t>
            </w:r>
            <w:r>
              <w:rPr>
                <w:rFonts w:hint="eastAsia" w:ascii="宋体" w:hAnsi="宋体"/>
                <w:color w:val="000000"/>
                <w:szCs w:val="21"/>
              </w:rPr>
              <w:t>格式</w:t>
            </w:r>
            <w:r>
              <w:rPr>
                <w:rFonts w:ascii="宋体" w:hAnsi="宋体"/>
                <w:color w:val="000000"/>
                <w:szCs w:val="21"/>
              </w:rPr>
              <w:t>的</w:t>
            </w:r>
            <w:r>
              <w:rPr>
                <w:rFonts w:hint="eastAsia" w:ascii="宋体" w:hAnsi="宋体"/>
                <w:color w:val="000000"/>
                <w:szCs w:val="21"/>
              </w:rPr>
              <w:t>通用</w:t>
            </w:r>
            <w:r>
              <w:rPr>
                <w:rFonts w:ascii="宋体" w:hAnsi="宋体"/>
                <w:color w:val="000000"/>
                <w:szCs w:val="21"/>
              </w:rPr>
              <w:t>部分为第1章、第2章、第4章和第6章。</w:t>
            </w:r>
          </w:p>
          <w:p>
            <w:pPr>
              <w:adjustRightInd w:val="0"/>
              <w:spacing w:before="60" w:line="360" w:lineRule="auto"/>
              <w:ind w:firstLine="441" w:firstLineChars="21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注2：3.4适用于标准草案送审稿，3.5适用于标准草案报批稿，3.6中</w:t>
            </w:r>
            <w:r>
              <w:rPr>
                <w:rFonts w:hint="eastAsia" w:ascii="宋体" w:hAnsi="宋体"/>
                <w:color w:val="000000"/>
                <w:szCs w:val="21"/>
              </w:rPr>
              <w:t>“</w:t>
            </w:r>
            <w:r>
              <w:rPr>
                <w:rFonts w:ascii="宋体" w:hAnsi="宋体"/>
                <w:color w:val="000000"/>
                <w:szCs w:val="21"/>
              </w:rPr>
              <w:t>预期的管理目标</w:t>
            </w:r>
            <w:r>
              <w:rPr>
                <w:rFonts w:hint="eastAsia" w:ascii="宋体" w:hAnsi="宋体"/>
                <w:color w:val="000000"/>
                <w:szCs w:val="21"/>
              </w:rPr>
              <w:t>”</w:t>
            </w:r>
            <w:r>
              <w:rPr>
                <w:rFonts w:ascii="宋体" w:hAnsi="宋体"/>
                <w:color w:val="000000"/>
                <w:szCs w:val="21"/>
              </w:rPr>
              <w:t>适用于规程类标准，3.6中</w:t>
            </w:r>
            <w:r>
              <w:rPr>
                <w:rFonts w:hint="eastAsia" w:ascii="宋体" w:hAnsi="宋体"/>
                <w:color w:val="000000"/>
                <w:szCs w:val="21"/>
              </w:rPr>
              <w:t>“</w:t>
            </w:r>
            <w:r>
              <w:rPr>
                <w:rFonts w:ascii="宋体" w:hAnsi="宋体"/>
                <w:color w:val="000000"/>
                <w:szCs w:val="21"/>
              </w:rPr>
              <w:t>技术指标</w:t>
            </w:r>
            <w:r>
              <w:rPr>
                <w:rFonts w:hint="eastAsia" w:ascii="宋体" w:hAnsi="宋体"/>
                <w:color w:val="000000"/>
                <w:szCs w:val="21"/>
              </w:rPr>
              <w:t>”</w:t>
            </w:r>
            <w:r>
              <w:rPr>
                <w:rFonts w:ascii="宋体" w:hAnsi="宋体"/>
                <w:color w:val="000000"/>
                <w:szCs w:val="21"/>
              </w:rPr>
              <w:t>适用于方法类标准，第5章适用于方法类标准编制说明的编写。</w:t>
            </w:r>
          </w:p>
          <w:p>
            <w:pPr>
              <w:adjustRightInd w:val="0"/>
              <w:spacing w:before="60" w:line="360" w:lineRule="auto"/>
              <w:ind w:firstLine="441" w:firstLineChars="21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注3：3.1和第6章为可选项，其余为必填项。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95" w:hRule="atLeast"/>
        </w:trPr>
        <w:tc>
          <w:tcPr>
            <w:tcW w:w="9625" w:type="dxa"/>
            <w:gridSpan w:val="7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wordWrap w:val="0"/>
              <w:ind w:right="480"/>
              <w:jc w:val="righ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编写日期：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2026</w:t>
            </w:r>
            <w:r>
              <w:rPr>
                <w:rFonts w:ascii="宋体" w:hAnsi="宋体"/>
                <w:color w:val="000000"/>
                <w:szCs w:val="21"/>
              </w:rPr>
              <w:t xml:space="preserve">年 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8</w:t>
            </w:r>
            <w:r>
              <w:rPr>
                <w:rFonts w:ascii="宋体" w:hAnsi="宋体"/>
                <w:color w:val="000000"/>
                <w:szCs w:val="21"/>
              </w:rPr>
              <w:t xml:space="preserve">  月  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27</w:t>
            </w:r>
            <w:r>
              <w:rPr>
                <w:rFonts w:ascii="宋体" w:hAnsi="宋体"/>
                <w:color w:val="000000"/>
                <w:szCs w:val="21"/>
              </w:rPr>
              <w:t xml:space="preserve">  日</w:t>
            </w:r>
          </w:p>
        </w:tc>
      </w:tr>
    </w:tbl>
    <w:p>
      <w:pPr>
        <w:rPr>
          <w:rFonts w:eastAsia="方正仿宋简体"/>
          <w:b/>
          <w:snapToGrid w:val="0"/>
          <w:color w:val="000000"/>
          <w:kern w:val="0"/>
          <w:sz w:val="32"/>
          <w:szCs w:val="32"/>
        </w:rPr>
      </w:pPr>
    </w:p>
    <w:sectPr>
      <w:headerReference r:id="rId3" w:type="default"/>
      <w:footerReference r:id="rId4" w:type="default"/>
      <w:footerReference r:id="rId5" w:type="even"/>
      <w:pgSz w:w="11907" w:h="16840"/>
      <w:pgMar w:top="1758" w:right="1418" w:bottom="1758" w:left="1418" w:header="851" w:footer="1134" w:gutter="0"/>
      <w:pgNumType w:start="1"/>
      <w:cols w:space="720" w:num="1"/>
      <w:titlePg/>
      <w:docGrid w:linePitch="291" w:charSpace="-378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9"/>
      <w:jc w:val="center"/>
      <w:rPr>
        <w:sz w:val="24"/>
        <w:szCs w:val="24"/>
      </w:rPr>
    </w:pPr>
    <w:r>
      <w:rPr>
        <w:rFonts w:hint="eastAsia"/>
        <w:sz w:val="24"/>
        <w:szCs w:val="24"/>
      </w:rPr>
      <w:t>-</w:t>
    </w: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  \* MERGEFORMAT </w:instrText>
    </w:r>
    <w:r>
      <w:rPr>
        <w:sz w:val="24"/>
        <w:szCs w:val="24"/>
      </w:rPr>
      <w:fldChar w:fldCharType="separate"/>
    </w:r>
    <w:r>
      <w:rPr>
        <w:sz w:val="24"/>
        <w:szCs w:val="24"/>
        <w:lang w:val="zh-CN"/>
      </w:rPr>
      <w:t>6</w:t>
    </w:r>
    <w:r>
      <w:rPr>
        <w:sz w:val="24"/>
        <w:szCs w:val="24"/>
      </w:rPr>
      <w:fldChar w:fldCharType="end"/>
    </w:r>
    <w:r>
      <w:rPr>
        <w:rFonts w:hint="eastAsia"/>
        <w:sz w:val="24"/>
        <w:szCs w:val="24"/>
      </w:rPr>
      <w:t>-</w:t>
    </w:r>
  </w:p>
  <w:p>
    <w:pPr>
      <w:pStyle w:val="2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9"/>
      <w:framePr w:wrap="around" w:vAnchor="text" w:hAnchor="margin" w:xAlign="center" w:y="1"/>
      <w:rPr>
        <w:rStyle w:val="41"/>
      </w:rPr>
    </w:pPr>
    <w:r>
      <w:fldChar w:fldCharType="begin"/>
    </w:r>
    <w:r>
      <w:rPr>
        <w:rStyle w:val="41"/>
      </w:rPr>
      <w:instrText xml:space="preserve">PAGE  </w:instrText>
    </w:r>
    <w:r>
      <w:fldChar w:fldCharType="end"/>
    </w:r>
  </w:p>
  <w:p>
    <w:pPr>
      <w:pStyle w:val="79"/>
      <w:ind w:right="360"/>
      <w:rPr>
        <w:rStyle w:val="41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0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0A15CD"/>
    <w:multiLevelType w:val="multilevel"/>
    <w:tmpl w:val="040A15CD"/>
    <w:lvl w:ilvl="0" w:tentative="0">
      <w:start w:val="1"/>
      <w:numFmt w:val="none"/>
      <w:suff w:val="nothing"/>
      <w:lvlText w:val="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isLgl/>
      <w:suff w:val="nothing"/>
      <w:lvlText w:val="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napToGrid/>
        <w:spacing w:val="0"/>
        <w:w w:val="100"/>
        <w:kern w:val="21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pStyle w:val="66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107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pStyle w:val="110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pStyle w:val="116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1">
    <w:nsid w:val="0AE367E9"/>
    <w:multiLevelType w:val="multilevel"/>
    <w:tmpl w:val="0AE367E9"/>
    <w:lvl w:ilvl="0" w:tentative="0">
      <w:start w:val="1"/>
      <w:numFmt w:val="none"/>
      <w:pStyle w:val="65"/>
      <w:lvlText w:val="%1示例"/>
      <w:lvlJc w:val="left"/>
      <w:pPr>
        <w:tabs>
          <w:tab w:val="left" w:pos="1120"/>
        </w:tabs>
        <w:ind w:left="0" w:firstLine="400"/>
      </w:pPr>
      <w:rPr>
        <w:rFonts w:hint="eastAsia" w:ascii="宋体" w:eastAsia="宋体"/>
        <w:b w:val="0"/>
        <w:i w:val="0"/>
        <w:sz w:val="18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407E65F9"/>
    <w:multiLevelType w:val="multilevel"/>
    <w:tmpl w:val="407E65F9"/>
    <w:lvl w:ilvl="0" w:tentative="0">
      <w:start w:val="1"/>
      <w:numFmt w:val="none"/>
      <w:pStyle w:val="104"/>
      <w:lvlText w:val="%1·　"/>
      <w:lvlJc w:val="left"/>
      <w:pPr>
        <w:tabs>
          <w:tab w:val="left" w:pos="1140"/>
        </w:tabs>
        <w:ind w:left="737" w:hanging="317"/>
      </w:pPr>
      <w:rPr>
        <w:rFonts w:hint="eastAsia" w:ascii="宋体" w:hAnsi="Times New Roman" w:eastAsia="宋体"/>
        <w:b w:val="0"/>
        <w:i w:val="0"/>
        <w:sz w:val="21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abstractNum w:abstractNumId="3">
    <w:nsid w:val="496E4D7B"/>
    <w:multiLevelType w:val="multilevel"/>
    <w:tmpl w:val="496E4D7B"/>
    <w:lvl w:ilvl="0" w:tentative="0">
      <w:start w:val="1"/>
      <w:numFmt w:val="none"/>
      <w:pStyle w:val="121"/>
      <w:lvlText w:val="%1注"/>
      <w:lvlJc w:val="left"/>
      <w:pPr>
        <w:tabs>
          <w:tab w:val="left" w:pos="900"/>
        </w:tabs>
        <w:ind w:left="900" w:hanging="500"/>
      </w:pPr>
      <w:rPr>
        <w:rFonts w:hint="eastAsia" w:ascii="宋体" w:hAnsi="Times New Roman" w:eastAsia="宋体"/>
        <w:b w:val="0"/>
        <w:i w:val="0"/>
        <w:sz w:val="18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557C2AF5"/>
    <w:multiLevelType w:val="multilevel"/>
    <w:tmpl w:val="557C2AF5"/>
    <w:lvl w:ilvl="0" w:tentative="0">
      <w:start w:val="1"/>
      <w:numFmt w:val="decimal"/>
      <w:pStyle w:val="119"/>
      <w:suff w:val="nothing"/>
      <w:lvlText w:val="图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5">
    <w:nsid w:val="646260FA"/>
    <w:multiLevelType w:val="multilevel"/>
    <w:tmpl w:val="646260FA"/>
    <w:lvl w:ilvl="0" w:tentative="0">
      <w:start w:val="1"/>
      <w:numFmt w:val="decimal"/>
      <w:pStyle w:val="118"/>
      <w:suff w:val="nothing"/>
      <w:lvlText w:val="表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lvlText w:val="%1.%2"/>
      <w:lvlJc w:val="left"/>
      <w:pPr>
        <w:tabs>
          <w:tab w:val="left" w:pos="992"/>
        </w:tabs>
        <w:ind w:left="992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1418"/>
        </w:tabs>
        <w:ind w:left="1418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255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3827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6">
    <w:nsid w:val="657D3FBC"/>
    <w:multiLevelType w:val="multilevel"/>
    <w:tmpl w:val="657D3FBC"/>
    <w:lvl w:ilvl="0" w:tentative="0">
      <w:start w:val="1"/>
      <w:numFmt w:val="upperLetter"/>
      <w:pStyle w:val="100"/>
      <w:suff w:val="nothing"/>
      <w:lvlText w:val="附　录　%1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pStyle w:val="75"/>
      <w:suff w:val="nothing"/>
      <w:lvlText w:val="%1.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napToGrid/>
        <w:spacing w:val="0"/>
        <w:w w:val="100"/>
        <w:kern w:val="21"/>
        <w:sz w:val="21"/>
      </w:rPr>
    </w:lvl>
    <w:lvl w:ilvl="2" w:tentative="0">
      <w:start w:val="1"/>
      <w:numFmt w:val="decimal"/>
      <w:pStyle w:val="74"/>
      <w:suff w:val="nothing"/>
      <w:lvlText w:val="%1.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pStyle w:val="73"/>
      <w:suff w:val="nothing"/>
      <w:lvlText w:val="%1.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72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pStyle w:val="71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pStyle w:val="83"/>
      <w:suff w:val="nothing"/>
      <w:lvlText w:val="%1.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7">
    <w:nsid w:val="6CEA2025"/>
    <w:multiLevelType w:val="multilevel"/>
    <w:tmpl w:val="6CEA2025"/>
    <w:lvl w:ilvl="0" w:tentative="0">
      <w:start w:val="1"/>
      <w:numFmt w:val="none"/>
      <w:pStyle w:val="78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80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pStyle w:val="109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pStyle w:val="115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8">
    <w:nsid w:val="6DBF04F4"/>
    <w:multiLevelType w:val="multilevel"/>
    <w:tmpl w:val="6DBF04F4"/>
    <w:lvl w:ilvl="0" w:tentative="0">
      <w:start w:val="1"/>
      <w:numFmt w:val="none"/>
      <w:pStyle w:val="120"/>
      <w:lvlText w:val="%1注："/>
      <w:lvlJc w:val="left"/>
      <w:pPr>
        <w:tabs>
          <w:tab w:val="left" w:pos="1140"/>
        </w:tabs>
        <w:ind w:left="840" w:hanging="420"/>
      </w:pPr>
      <w:rPr>
        <w:rFonts w:hint="eastAsia" w:ascii="宋体" w:hAnsi="Times New Roman" w:eastAsia="宋体"/>
        <w:b w:val="0"/>
        <w:i w:val="0"/>
        <w:sz w:val="18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9">
    <w:nsid w:val="76933334"/>
    <w:multiLevelType w:val="multilevel"/>
    <w:tmpl w:val="76933334"/>
    <w:lvl w:ilvl="0" w:tentative="0">
      <w:start w:val="1"/>
      <w:numFmt w:val="none"/>
      <w:pStyle w:val="103"/>
      <w:lvlText w:val="%1——"/>
      <w:lvlJc w:val="left"/>
      <w:pPr>
        <w:tabs>
          <w:tab w:val="left" w:pos="1140"/>
        </w:tabs>
        <w:ind w:left="84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96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0600"/>
    <w:rsid w:val="00001AD5"/>
    <w:rsid w:val="00003491"/>
    <w:rsid w:val="000037D2"/>
    <w:rsid w:val="000065A1"/>
    <w:rsid w:val="00012C67"/>
    <w:rsid w:val="00014276"/>
    <w:rsid w:val="00015100"/>
    <w:rsid w:val="00020D33"/>
    <w:rsid w:val="00021C6E"/>
    <w:rsid w:val="00022D05"/>
    <w:rsid w:val="00023A0F"/>
    <w:rsid w:val="0002669E"/>
    <w:rsid w:val="00027415"/>
    <w:rsid w:val="000449B0"/>
    <w:rsid w:val="00047546"/>
    <w:rsid w:val="000501FC"/>
    <w:rsid w:val="000555F5"/>
    <w:rsid w:val="00056034"/>
    <w:rsid w:val="00060C30"/>
    <w:rsid w:val="0006511B"/>
    <w:rsid w:val="00066DF5"/>
    <w:rsid w:val="00067912"/>
    <w:rsid w:val="00072C62"/>
    <w:rsid w:val="00076838"/>
    <w:rsid w:val="00076FE5"/>
    <w:rsid w:val="000913AA"/>
    <w:rsid w:val="00091710"/>
    <w:rsid w:val="00091BBF"/>
    <w:rsid w:val="00095480"/>
    <w:rsid w:val="000A1245"/>
    <w:rsid w:val="000A1780"/>
    <w:rsid w:val="000A408A"/>
    <w:rsid w:val="000A5135"/>
    <w:rsid w:val="000A6CE1"/>
    <w:rsid w:val="000A702B"/>
    <w:rsid w:val="000B15F1"/>
    <w:rsid w:val="000B3B53"/>
    <w:rsid w:val="000C795D"/>
    <w:rsid w:val="000C7D1E"/>
    <w:rsid w:val="000D0D61"/>
    <w:rsid w:val="000D11AC"/>
    <w:rsid w:val="000D14F2"/>
    <w:rsid w:val="000D5EB5"/>
    <w:rsid w:val="000D6845"/>
    <w:rsid w:val="000E0F71"/>
    <w:rsid w:val="000E1472"/>
    <w:rsid w:val="000E5568"/>
    <w:rsid w:val="000F0490"/>
    <w:rsid w:val="000F1C53"/>
    <w:rsid w:val="000F234E"/>
    <w:rsid w:val="000F3D81"/>
    <w:rsid w:val="000F788D"/>
    <w:rsid w:val="00100BB8"/>
    <w:rsid w:val="00101C16"/>
    <w:rsid w:val="00104AC8"/>
    <w:rsid w:val="00105177"/>
    <w:rsid w:val="00105B9F"/>
    <w:rsid w:val="00107566"/>
    <w:rsid w:val="0011003E"/>
    <w:rsid w:val="00111A00"/>
    <w:rsid w:val="00114105"/>
    <w:rsid w:val="00115CB3"/>
    <w:rsid w:val="001206FE"/>
    <w:rsid w:val="00121083"/>
    <w:rsid w:val="00122F0F"/>
    <w:rsid w:val="00126B2A"/>
    <w:rsid w:val="0012777A"/>
    <w:rsid w:val="00132A68"/>
    <w:rsid w:val="001331D7"/>
    <w:rsid w:val="00135A95"/>
    <w:rsid w:val="00143336"/>
    <w:rsid w:val="00143401"/>
    <w:rsid w:val="00143C40"/>
    <w:rsid w:val="00145CC3"/>
    <w:rsid w:val="0015079E"/>
    <w:rsid w:val="00152D7E"/>
    <w:rsid w:val="00154115"/>
    <w:rsid w:val="00156A94"/>
    <w:rsid w:val="00162151"/>
    <w:rsid w:val="001621BF"/>
    <w:rsid w:val="00162298"/>
    <w:rsid w:val="00163D2E"/>
    <w:rsid w:val="00172A27"/>
    <w:rsid w:val="00173798"/>
    <w:rsid w:val="00173E8B"/>
    <w:rsid w:val="00174E25"/>
    <w:rsid w:val="00176EB9"/>
    <w:rsid w:val="001828C2"/>
    <w:rsid w:val="001903A2"/>
    <w:rsid w:val="00195AED"/>
    <w:rsid w:val="001970C8"/>
    <w:rsid w:val="00197999"/>
    <w:rsid w:val="001A0134"/>
    <w:rsid w:val="001A168A"/>
    <w:rsid w:val="001B17CC"/>
    <w:rsid w:val="001B3EB1"/>
    <w:rsid w:val="001B7439"/>
    <w:rsid w:val="001C0680"/>
    <w:rsid w:val="001C0B8E"/>
    <w:rsid w:val="001C384F"/>
    <w:rsid w:val="001C7ACD"/>
    <w:rsid w:val="001D2338"/>
    <w:rsid w:val="001D717A"/>
    <w:rsid w:val="001E37A6"/>
    <w:rsid w:val="001E6600"/>
    <w:rsid w:val="001F162E"/>
    <w:rsid w:val="001F46BE"/>
    <w:rsid w:val="001F6DDE"/>
    <w:rsid w:val="001F7A0C"/>
    <w:rsid w:val="002045D5"/>
    <w:rsid w:val="0020499A"/>
    <w:rsid w:val="0020534B"/>
    <w:rsid w:val="00213480"/>
    <w:rsid w:val="002139D7"/>
    <w:rsid w:val="002146D1"/>
    <w:rsid w:val="00214AD8"/>
    <w:rsid w:val="00215982"/>
    <w:rsid w:val="00216A3B"/>
    <w:rsid w:val="00221686"/>
    <w:rsid w:val="00222AC5"/>
    <w:rsid w:val="00225EC8"/>
    <w:rsid w:val="00232FD3"/>
    <w:rsid w:val="00234591"/>
    <w:rsid w:val="00234D6C"/>
    <w:rsid w:val="00243D10"/>
    <w:rsid w:val="00245229"/>
    <w:rsid w:val="00245893"/>
    <w:rsid w:val="00246E3B"/>
    <w:rsid w:val="00247988"/>
    <w:rsid w:val="00250799"/>
    <w:rsid w:val="00251D4A"/>
    <w:rsid w:val="002526E1"/>
    <w:rsid w:val="00257071"/>
    <w:rsid w:val="00270414"/>
    <w:rsid w:val="00271B36"/>
    <w:rsid w:val="00273C64"/>
    <w:rsid w:val="002763D0"/>
    <w:rsid w:val="002826DE"/>
    <w:rsid w:val="002831FC"/>
    <w:rsid w:val="00287E6F"/>
    <w:rsid w:val="00291E81"/>
    <w:rsid w:val="00292F15"/>
    <w:rsid w:val="00292F8E"/>
    <w:rsid w:val="00294EC4"/>
    <w:rsid w:val="002A140C"/>
    <w:rsid w:val="002A1BF1"/>
    <w:rsid w:val="002A43A2"/>
    <w:rsid w:val="002A67B6"/>
    <w:rsid w:val="002B1A70"/>
    <w:rsid w:val="002B3036"/>
    <w:rsid w:val="002B4AF7"/>
    <w:rsid w:val="002C1971"/>
    <w:rsid w:val="002C2941"/>
    <w:rsid w:val="002C5CE4"/>
    <w:rsid w:val="002D02E7"/>
    <w:rsid w:val="002D20F2"/>
    <w:rsid w:val="002D5E7E"/>
    <w:rsid w:val="002D67E2"/>
    <w:rsid w:val="002D6ED0"/>
    <w:rsid w:val="002E1947"/>
    <w:rsid w:val="002E28C5"/>
    <w:rsid w:val="002E35BF"/>
    <w:rsid w:val="002F0DE6"/>
    <w:rsid w:val="002F45EE"/>
    <w:rsid w:val="002F4B74"/>
    <w:rsid w:val="0030073B"/>
    <w:rsid w:val="00305AC4"/>
    <w:rsid w:val="00306CBC"/>
    <w:rsid w:val="003073C7"/>
    <w:rsid w:val="00312A0F"/>
    <w:rsid w:val="00312A4B"/>
    <w:rsid w:val="003131D2"/>
    <w:rsid w:val="00313385"/>
    <w:rsid w:val="00314FAB"/>
    <w:rsid w:val="00321005"/>
    <w:rsid w:val="003227D7"/>
    <w:rsid w:val="0032534D"/>
    <w:rsid w:val="00326368"/>
    <w:rsid w:val="003279F1"/>
    <w:rsid w:val="003346EE"/>
    <w:rsid w:val="0033484C"/>
    <w:rsid w:val="00341376"/>
    <w:rsid w:val="00344552"/>
    <w:rsid w:val="00347C8B"/>
    <w:rsid w:val="00351452"/>
    <w:rsid w:val="00353543"/>
    <w:rsid w:val="003536C8"/>
    <w:rsid w:val="003546C0"/>
    <w:rsid w:val="00354A7F"/>
    <w:rsid w:val="003559F6"/>
    <w:rsid w:val="0036009E"/>
    <w:rsid w:val="0036599B"/>
    <w:rsid w:val="00371C18"/>
    <w:rsid w:val="00371E4A"/>
    <w:rsid w:val="00371EBB"/>
    <w:rsid w:val="003751BA"/>
    <w:rsid w:val="003827ED"/>
    <w:rsid w:val="00384733"/>
    <w:rsid w:val="00385748"/>
    <w:rsid w:val="00386047"/>
    <w:rsid w:val="003863F3"/>
    <w:rsid w:val="0039611D"/>
    <w:rsid w:val="00397098"/>
    <w:rsid w:val="00397D76"/>
    <w:rsid w:val="003A39B9"/>
    <w:rsid w:val="003A5BC3"/>
    <w:rsid w:val="003A6A58"/>
    <w:rsid w:val="003B2404"/>
    <w:rsid w:val="003B3287"/>
    <w:rsid w:val="003B39C8"/>
    <w:rsid w:val="003B42E9"/>
    <w:rsid w:val="003B4BA1"/>
    <w:rsid w:val="003C19CA"/>
    <w:rsid w:val="003C31BD"/>
    <w:rsid w:val="003C49BC"/>
    <w:rsid w:val="003C5970"/>
    <w:rsid w:val="003C5AC1"/>
    <w:rsid w:val="003D1718"/>
    <w:rsid w:val="003D4B7D"/>
    <w:rsid w:val="003D4CCE"/>
    <w:rsid w:val="003D599A"/>
    <w:rsid w:val="003D5A36"/>
    <w:rsid w:val="003E5D78"/>
    <w:rsid w:val="003E6942"/>
    <w:rsid w:val="003E7769"/>
    <w:rsid w:val="003E7BC0"/>
    <w:rsid w:val="003F3CC1"/>
    <w:rsid w:val="00401712"/>
    <w:rsid w:val="00403580"/>
    <w:rsid w:val="004056C2"/>
    <w:rsid w:val="00406723"/>
    <w:rsid w:val="004079C8"/>
    <w:rsid w:val="004135E4"/>
    <w:rsid w:val="0042117C"/>
    <w:rsid w:val="0042404B"/>
    <w:rsid w:val="0043582D"/>
    <w:rsid w:val="00436CEC"/>
    <w:rsid w:val="00437DF0"/>
    <w:rsid w:val="004422EA"/>
    <w:rsid w:val="00443250"/>
    <w:rsid w:val="004506A0"/>
    <w:rsid w:val="00456308"/>
    <w:rsid w:val="00456AB0"/>
    <w:rsid w:val="00463DF6"/>
    <w:rsid w:val="00467A0C"/>
    <w:rsid w:val="0047255A"/>
    <w:rsid w:val="0047426C"/>
    <w:rsid w:val="0047467F"/>
    <w:rsid w:val="00476640"/>
    <w:rsid w:val="004821FE"/>
    <w:rsid w:val="0048765D"/>
    <w:rsid w:val="00487F12"/>
    <w:rsid w:val="00491B3A"/>
    <w:rsid w:val="00491FFA"/>
    <w:rsid w:val="004934E6"/>
    <w:rsid w:val="00493893"/>
    <w:rsid w:val="004938A1"/>
    <w:rsid w:val="0049599B"/>
    <w:rsid w:val="004A0D8A"/>
    <w:rsid w:val="004A4FDC"/>
    <w:rsid w:val="004B4B4C"/>
    <w:rsid w:val="004B5246"/>
    <w:rsid w:val="004C215F"/>
    <w:rsid w:val="004C2557"/>
    <w:rsid w:val="004C70B5"/>
    <w:rsid w:val="004D5E39"/>
    <w:rsid w:val="004D6095"/>
    <w:rsid w:val="004D6444"/>
    <w:rsid w:val="004D7338"/>
    <w:rsid w:val="004E40CE"/>
    <w:rsid w:val="004F05BF"/>
    <w:rsid w:val="004F5D98"/>
    <w:rsid w:val="004F642A"/>
    <w:rsid w:val="00505DB1"/>
    <w:rsid w:val="00506F87"/>
    <w:rsid w:val="00507B92"/>
    <w:rsid w:val="00510BC3"/>
    <w:rsid w:val="00512A9D"/>
    <w:rsid w:val="005135AC"/>
    <w:rsid w:val="005176CC"/>
    <w:rsid w:val="00544603"/>
    <w:rsid w:val="005454CE"/>
    <w:rsid w:val="0055147E"/>
    <w:rsid w:val="005548F8"/>
    <w:rsid w:val="00555303"/>
    <w:rsid w:val="00557671"/>
    <w:rsid w:val="005647BF"/>
    <w:rsid w:val="00574AE5"/>
    <w:rsid w:val="00576510"/>
    <w:rsid w:val="0057659A"/>
    <w:rsid w:val="00583CCC"/>
    <w:rsid w:val="00585419"/>
    <w:rsid w:val="005867C4"/>
    <w:rsid w:val="00590B1C"/>
    <w:rsid w:val="005925DF"/>
    <w:rsid w:val="00593BEA"/>
    <w:rsid w:val="005945B8"/>
    <w:rsid w:val="005A0E0F"/>
    <w:rsid w:val="005A24E0"/>
    <w:rsid w:val="005A63BF"/>
    <w:rsid w:val="005A66CB"/>
    <w:rsid w:val="005A785A"/>
    <w:rsid w:val="005B0C1C"/>
    <w:rsid w:val="005B2144"/>
    <w:rsid w:val="005B2F38"/>
    <w:rsid w:val="005B2FD0"/>
    <w:rsid w:val="005B4EFD"/>
    <w:rsid w:val="005B7535"/>
    <w:rsid w:val="005C0DE9"/>
    <w:rsid w:val="005C53B1"/>
    <w:rsid w:val="005C5985"/>
    <w:rsid w:val="005C5B5A"/>
    <w:rsid w:val="005C67C9"/>
    <w:rsid w:val="005C7441"/>
    <w:rsid w:val="005D32C5"/>
    <w:rsid w:val="005E0C0B"/>
    <w:rsid w:val="005E128E"/>
    <w:rsid w:val="005E2069"/>
    <w:rsid w:val="005E51A3"/>
    <w:rsid w:val="005E65B3"/>
    <w:rsid w:val="005E750F"/>
    <w:rsid w:val="005E77FA"/>
    <w:rsid w:val="005F05C9"/>
    <w:rsid w:val="005F3142"/>
    <w:rsid w:val="005F3175"/>
    <w:rsid w:val="005F4E57"/>
    <w:rsid w:val="005F5C81"/>
    <w:rsid w:val="005F68C4"/>
    <w:rsid w:val="005F6AE2"/>
    <w:rsid w:val="005F7888"/>
    <w:rsid w:val="0060176C"/>
    <w:rsid w:val="00607E57"/>
    <w:rsid w:val="00613BB2"/>
    <w:rsid w:val="0061433E"/>
    <w:rsid w:val="00620635"/>
    <w:rsid w:val="00623DF3"/>
    <w:rsid w:val="00630A22"/>
    <w:rsid w:val="006313C2"/>
    <w:rsid w:val="0063419D"/>
    <w:rsid w:val="006350A9"/>
    <w:rsid w:val="00635D61"/>
    <w:rsid w:val="00641B49"/>
    <w:rsid w:val="00642188"/>
    <w:rsid w:val="006429BD"/>
    <w:rsid w:val="00644DB7"/>
    <w:rsid w:val="00647235"/>
    <w:rsid w:val="00650490"/>
    <w:rsid w:val="00652828"/>
    <w:rsid w:val="0065388D"/>
    <w:rsid w:val="00653ED1"/>
    <w:rsid w:val="00655105"/>
    <w:rsid w:val="00656FC3"/>
    <w:rsid w:val="0066079F"/>
    <w:rsid w:val="00661134"/>
    <w:rsid w:val="00662B24"/>
    <w:rsid w:val="00663563"/>
    <w:rsid w:val="0066430B"/>
    <w:rsid w:val="00664FC1"/>
    <w:rsid w:val="006661EF"/>
    <w:rsid w:val="006676B9"/>
    <w:rsid w:val="0067052E"/>
    <w:rsid w:val="0067328A"/>
    <w:rsid w:val="006759B1"/>
    <w:rsid w:val="0067614A"/>
    <w:rsid w:val="0067788D"/>
    <w:rsid w:val="00681855"/>
    <w:rsid w:val="006860D7"/>
    <w:rsid w:val="00686B9D"/>
    <w:rsid w:val="006903B2"/>
    <w:rsid w:val="00691C85"/>
    <w:rsid w:val="00692E9D"/>
    <w:rsid w:val="00693010"/>
    <w:rsid w:val="0069459D"/>
    <w:rsid w:val="00694984"/>
    <w:rsid w:val="006A03B7"/>
    <w:rsid w:val="006A667F"/>
    <w:rsid w:val="006B1DD6"/>
    <w:rsid w:val="006B35CD"/>
    <w:rsid w:val="006B44C8"/>
    <w:rsid w:val="006C2FDA"/>
    <w:rsid w:val="006C3803"/>
    <w:rsid w:val="006C7A34"/>
    <w:rsid w:val="006D0147"/>
    <w:rsid w:val="006D2EC0"/>
    <w:rsid w:val="006D45A2"/>
    <w:rsid w:val="006E2E08"/>
    <w:rsid w:val="006E5264"/>
    <w:rsid w:val="006E7099"/>
    <w:rsid w:val="006F1EFE"/>
    <w:rsid w:val="006F2C6B"/>
    <w:rsid w:val="006F3306"/>
    <w:rsid w:val="007008F7"/>
    <w:rsid w:val="00702FA1"/>
    <w:rsid w:val="00703861"/>
    <w:rsid w:val="00704585"/>
    <w:rsid w:val="00706E5C"/>
    <w:rsid w:val="0070711B"/>
    <w:rsid w:val="007074BB"/>
    <w:rsid w:val="00707920"/>
    <w:rsid w:val="00712D66"/>
    <w:rsid w:val="00713ADE"/>
    <w:rsid w:val="007158CA"/>
    <w:rsid w:val="00715923"/>
    <w:rsid w:val="00720BC2"/>
    <w:rsid w:val="00721258"/>
    <w:rsid w:val="00721780"/>
    <w:rsid w:val="00721EC6"/>
    <w:rsid w:val="007233AC"/>
    <w:rsid w:val="00723488"/>
    <w:rsid w:val="007239E8"/>
    <w:rsid w:val="00725B7B"/>
    <w:rsid w:val="007323E9"/>
    <w:rsid w:val="00733651"/>
    <w:rsid w:val="00734716"/>
    <w:rsid w:val="00735BCB"/>
    <w:rsid w:val="0073613C"/>
    <w:rsid w:val="007377DC"/>
    <w:rsid w:val="00744594"/>
    <w:rsid w:val="0075336B"/>
    <w:rsid w:val="00753E95"/>
    <w:rsid w:val="00757041"/>
    <w:rsid w:val="00760D8C"/>
    <w:rsid w:val="007701D5"/>
    <w:rsid w:val="00770A66"/>
    <w:rsid w:val="00772F48"/>
    <w:rsid w:val="00775B4F"/>
    <w:rsid w:val="007853F1"/>
    <w:rsid w:val="007925DD"/>
    <w:rsid w:val="00794C03"/>
    <w:rsid w:val="00796417"/>
    <w:rsid w:val="007A381A"/>
    <w:rsid w:val="007A4AA1"/>
    <w:rsid w:val="007A5A57"/>
    <w:rsid w:val="007A659B"/>
    <w:rsid w:val="007A679E"/>
    <w:rsid w:val="007B0B2B"/>
    <w:rsid w:val="007B271C"/>
    <w:rsid w:val="007B75E7"/>
    <w:rsid w:val="007C02F8"/>
    <w:rsid w:val="007C09FA"/>
    <w:rsid w:val="007C0E4F"/>
    <w:rsid w:val="007C2AE5"/>
    <w:rsid w:val="007C53D2"/>
    <w:rsid w:val="007C7D05"/>
    <w:rsid w:val="007D0B7A"/>
    <w:rsid w:val="007E141A"/>
    <w:rsid w:val="007E1CF3"/>
    <w:rsid w:val="007E2E60"/>
    <w:rsid w:val="007E388B"/>
    <w:rsid w:val="007E3BE5"/>
    <w:rsid w:val="007E43CC"/>
    <w:rsid w:val="007E4B7B"/>
    <w:rsid w:val="007E578F"/>
    <w:rsid w:val="007E6A76"/>
    <w:rsid w:val="007F067F"/>
    <w:rsid w:val="007F09A2"/>
    <w:rsid w:val="007F0CD7"/>
    <w:rsid w:val="007F2172"/>
    <w:rsid w:val="007F2657"/>
    <w:rsid w:val="007F3D5D"/>
    <w:rsid w:val="007F4686"/>
    <w:rsid w:val="007F5135"/>
    <w:rsid w:val="007F61EF"/>
    <w:rsid w:val="00806C4E"/>
    <w:rsid w:val="008112B3"/>
    <w:rsid w:val="0081331C"/>
    <w:rsid w:val="00814A2C"/>
    <w:rsid w:val="00816166"/>
    <w:rsid w:val="00821333"/>
    <w:rsid w:val="008213C1"/>
    <w:rsid w:val="00823F72"/>
    <w:rsid w:val="00830115"/>
    <w:rsid w:val="008312E3"/>
    <w:rsid w:val="008349DA"/>
    <w:rsid w:val="00835E18"/>
    <w:rsid w:val="00836606"/>
    <w:rsid w:val="008368D7"/>
    <w:rsid w:val="008576BB"/>
    <w:rsid w:val="00860484"/>
    <w:rsid w:val="008606CA"/>
    <w:rsid w:val="0086131B"/>
    <w:rsid w:val="00862C03"/>
    <w:rsid w:val="00864671"/>
    <w:rsid w:val="00870079"/>
    <w:rsid w:val="008829BA"/>
    <w:rsid w:val="00890A40"/>
    <w:rsid w:val="0089568E"/>
    <w:rsid w:val="008A05A5"/>
    <w:rsid w:val="008A2AC2"/>
    <w:rsid w:val="008A42B0"/>
    <w:rsid w:val="008A4BA9"/>
    <w:rsid w:val="008A7D25"/>
    <w:rsid w:val="008B08E1"/>
    <w:rsid w:val="008B1729"/>
    <w:rsid w:val="008B3FEA"/>
    <w:rsid w:val="008C17B4"/>
    <w:rsid w:val="008C2785"/>
    <w:rsid w:val="008C2B53"/>
    <w:rsid w:val="008C3B14"/>
    <w:rsid w:val="008D16DF"/>
    <w:rsid w:val="008D2AC9"/>
    <w:rsid w:val="008D4D60"/>
    <w:rsid w:val="008D4F47"/>
    <w:rsid w:val="008E3432"/>
    <w:rsid w:val="008E4175"/>
    <w:rsid w:val="008F2F65"/>
    <w:rsid w:val="008F69A1"/>
    <w:rsid w:val="009007FD"/>
    <w:rsid w:val="00902749"/>
    <w:rsid w:val="0091240F"/>
    <w:rsid w:val="00913151"/>
    <w:rsid w:val="00916797"/>
    <w:rsid w:val="0092011B"/>
    <w:rsid w:val="00921F24"/>
    <w:rsid w:val="00931D59"/>
    <w:rsid w:val="00932B37"/>
    <w:rsid w:val="00937021"/>
    <w:rsid w:val="00946E0B"/>
    <w:rsid w:val="00947E40"/>
    <w:rsid w:val="00950369"/>
    <w:rsid w:val="00950992"/>
    <w:rsid w:val="00952DB9"/>
    <w:rsid w:val="00955419"/>
    <w:rsid w:val="009578C9"/>
    <w:rsid w:val="0096041E"/>
    <w:rsid w:val="00960557"/>
    <w:rsid w:val="00966B76"/>
    <w:rsid w:val="00971125"/>
    <w:rsid w:val="009732CB"/>
    <w:rsid w:val="00980150"/>
    <w:rsid w:val="00980B5A"/>
    <w:rsid w:val="00982752"/>
    <w:rsid w:val="00984CFD"/>
    <w:rsid w:val="0098544E"/>
    <w:rsid w:val="00985CDC"/>
    <w:rsid w:val="009865BB"/>
    <w:rsid w:val="009871AC"/>
    <w:rsid w:val="00991894"/>
    <w:rsid w:val="009967E7"/>
    <w:rsid w:val="009A0CB2"/>
    <w:rsid w:val="009A25F3"/>
    <w:rsid w:val="009A53E0"/>
    <w:rsid w:val="009B5C44"/>
    <w:rsid w:val="009B5C5B"/>
    <w:rsid w:val="009B72F4"/>
    <w:rsid w:val="009C0D8D"/>
    <w:rsid w:val="009C14D0"/>
    <w:rsid w:val="009C5AD1"/>
    <w:rsid w:val="009C75E1"/>
    <w:rsid w:val="009D11D2"/>
    <w:rsid w:val="009D2A0F"/>
    <w:rsid w:val="009D79EC"/>
    <w:rsid w:val="009D79F8"/>
    <w:rsid w:val="009E5D07"/>
    <w:rsid w:val="009F1D4E"/>
    <w:rsid w:val="009F4176"/>
    <w:rsid w:val="009F4DB5"/>
    <w:rsid w:val="009F7B82"/>
    <w:rsid w:val="00A00ECF"/>
    <w:rsid w:val="00A03BC6"/>
    <w:rsid w:val="00A03DFB"/>
    <w:rsid w:val="00A0482F"/>
    <w:rsid w:val="00A0766F"/>
    <w:rsid w:val="00A0793E"/>
    <w:rsid w:val="00A11715"/>
    <w:rsid w:val="00A17DD9"/>
    <w:rsid w:val="00A202BB"/>
    <w:rsid w:val="00A23B2D"/>
    <w:rsid w:val="00A26173"/>
    <w:rsid w:val="00A26F01"/>
    <w:rsid w:val="00A2765F"/>
    <w:rsid w:val="00A31843"/>
    <w:rsid w:val="00A3321F"/>
    <w:rsid w:val="00A351FE"/>
    <w:rsid w:val="00A40B87"/>
    <w:rsid w:val="00A41592"/>
    <w:rsid w:val="00A45456"/>
    <w:rsid w:val="00A5121B"/>
    <w:rsid w:val="00A57333"/>
    <w:rsid w:val="00A66073"/>
    <w:rsid w:val="00A66A91"/>
    <w:rsid w:val="00A67094"/>
    <w:rsid w:val="00A729BC"/>
    <w:rsid w:val="00A732EB"/>
    <w:rsid w:val="00A74A2A"/>
    <w:rsid w:val="00A75282"/>
    <w:rsid w:val="00A7649C"/>
    <w:rsid w:val="00A8473F"/>
    <w:rsid w:val="00A85A99"/>
    <w:rsid w:val="00A875F1"/>
    <w:rsid w:val="00A94D4B"/>
    <w:rsid w:val="00AA0E91"/>
    <w:rsid w:val="00AA111F"/>
    <w:rsid w:val="00AA35BE"/>
    <w:rsid w:val="00AA532B"/>
    <w:rsid w:val="00AA6F75"/>
    <w:rsid w:val="00AB1DA6"/>
    <w:rsid w:val="00AB27AB"/>
    <w:rsid w:val="00AB3389"/>
    <w:rsid w:val="00AB562D"/>
    <w:rsid w:val="00AB65AE"/>
    <w:rsid w:val="00AC1DDC"/>
    <w:rsid w:val="00AC2474"/>
    <w:rsid w:val="00AC3354"/>
    <w:rsid w:val="00AC345E"/>
    <w:rsid w:val="00AC3EBE"/>
    <w:rsid w:val="00AD1B0F"/>
    <w:rsid w:val="00AD54CD"/>
    <w:rsid w:val="00AD74AF"/>
    <w:rsid w:val="00AE0F34"/>
    <w:rsid w:val="00AE16B5"/>
    <w:rsid w:val="00AE28EE"/>
    <w:rsid w:val="00AE3CDA"/>
    <w:rsid w:val="00AF5980"/>
    <w:rsid w:val="00B00650"/>
    <w:rsid w:val="00B011AE"/>
    <w:rsid w:val="00B01C80"/>
    <w:rsid w:val="00B03F22"/>
    <w:rsid w:val="00B07AFA"/>
    <w:rsid w:val="00B12D8B"/>
    <w:rsid w:val="00B144E7"/>
    <w:rsid w:val="00B171AA"/>
    <w:rsid w:val="00B17614"/>
    <w:rsid w:val="00B202ED"/>
    <w:rsid w:val="00B26562"/>
    <w:rsid w:val="00B34AE4"/>
    <w:rsid w:val="00B431B4"/>
    <w:rsid w:val="00B50FE1"/>
    <w:rsid w:val="00B55F70"/>
    <w:rsid w:val="00B6468A"/>
    <w:rsid w:val="00B71489"/>
    <w:rsid w:val="00B71814"/>
    <w:rsid w:val="00B71AF0"/>
    <w:rsid w:val="00B7391C"/>
    <w:rsid w:val="00B75FA3"/>
    <w:rsid w:val="00B76A83"/>
    <w:rsid w:val="00B8410B"/>
    <w:rsid w:val="00B86402"/>
    <w:rsid w:val="00B86A83"/>
    <w:rsid w:val="00B878DF"/>
    <w:rsid w:val="00B9212F"/>
    <w:rsid w:val="00BA1064"/>
    <w:rsid w:val="00BA3596"/>
    <w:rsid w:val="00BA7198"/>
    <w:rsid w:val="00BB01F7"/>
    <w:rsid w:val="00BB3E60"/>
    <w:rsid w:val="00BC1127"/>
    <w:rsid w:val="00BC1BE2"/>
    <w:rsid w:val="00BC1CE7"/>
    <w:rsid w:val="00BC20A6"/>
    <w:rsid w:val="00BC37CD"/>
    <w:rsid w:val="00BC4F33"/>
    <w:rsid w:val="00BC5C21"/>
    <w:rsid w:val="00BD02DD"/>
    <w:rsid w:val="00BD4C8C"/>
    <w:rsid w:val="00BE4A1D"/>
    <w:rsid w:val="00BF1135"/>
    <w:rsid w:val="00BF1CA9"/>
    <w:rsid w:val="00BF5792"/>
    <w:rsid w:val="00BF5B87"/>
    <w:rsid w:val="00C01785"/>
    <w:rsid w:val="00C12012"/>
    <w:rsid w:val="00C12629"/>
    <w:rsid w:val="00C13007"/>
    <w:rsid w:val="00C149C4"/>
    <w:rsid w:val="00C15529"/>
    <w:rsid w:val="00C20832"/>
    <w:rsid w:val="00C22A24"/>
    <w:rsid w:val="00C24375"/>
    <w:rsid w:val="00C3400E"/>
    <w:rsid w:val="00C379B0"/>
    <w:rsid w:val="00C423AB"/>
    <w:rsid w:val="00C44773"/>
    <w:rsid w:val="00C47468"/>
    <w:rsid w:val="00C57649"/>
    <w:rsid w:val="00C57935"/>
    <w:rsid w:val="00C62584"/>
    <w:rsid w:val="00C62E89"/>
    <w:rsid w:val="00C66B8A"/>
    <w:rsid w:val="00C7321F"/>
    <w:rsid w:val="00C74CC2"/>
    <w:rsid w:val="00C825BE"/>
    <w:rsid w:val="00C82C13"/>
    <w:rsid w:val="00C82C8F"/>
    <w:rsid w:val="00C83F73"/>
    <w:rsid w:val="00C87518"/>
    <w:rsid w:val="00C901D0"/>
    <w:rsid w:val="00C93843"/>
    <w:rsid w:val="00C9486F"/>
    <w:rsid w:val="00C9594F"/>
    <w:rsid w:val="00CA1E44"/>
    <w:rsid w:val="00CA2B85"/>
    <w:rsid w:val="00CA2CA2"/>
    <w:rsid w:val="00CA4C3F"/>
    <w:rsid w:val="00CA76CA"/>
    <w:rsid w:val="00CB38D0"/>
    <w:rsid w:val="00CB546A"/>
    <w:rsid w:val="00CB7B2D"/>
    <w:rsid w:val="00CC1B76"/>
    <w:rsid w:val="00CC3027"/>
    <w:rsid w:val="00CC40B9"/>
    <w:rsid w:val="00CC4188"/>
    <w:rsid w:val="00CD1F0A"/>
    <w:rsid w:val="00CE0C7C"/>
    <w:rsid w:val="00CE62C5"/>
    <w:rsid w:val="00CF0654"/>
    <w:rsid w:val="00CF13C8"/>
    <w:rsid w:val="00CF1D17"/>
    <w:rsid w:val="00CF43B4"/>
    <w:rsid w:val="00CF5B07"/>
    <w:rsid w:val="00D00303"/>
    <w:rsid w:val="00D025CF"/>
    <w:rsid w:val="00D02803"/>
    <w:rsid w:val="00D04050"/>
    <w:rsid w:val="00D052EE"/>
    <w:rsid w:val="00D05607"/>
    <w:rsid w:val="00D1238F"/>
    <w:rsid w:val="00D12519"/>
    <w:rsid w:val="00D14BE9"/>
    <w:rsid w:val="00D16D44"/>
    <w:rsid w:val="00D20DA6"/>
    <w:rsid w:val="00D221D4"/>
    <w:rsid w:val="00D23439"/>
    <w:rsid w:val="00D24015"/>
    <w:rsid w:val="00D25925"/>
    <w:rsid w:val="00D25EA3"/>
    <w:rsid w:val="00D30996"/>
    <w:rsid w:val="00D347D8"/>
    <w:rsid w:val="00D358D1"/>
    <w:rsid w:val="00D37905"/>
    <w:rsid w:val="00D44F7A"/>
    <w:rsid w:val="00D50E83"/>
    <w:rsid w:val="00D519C6"/>
    <w:rsid w:val="00D52A3F"/>
    <w:rsid w:val="00D52BD9"/>
    <w:rsid w:val="00D52C31"/>
    <w:rsid w:val="00D53FCC"/>
    <w:rsid w:val="00D56580"/>
    <w:rsid w:val="00D56C68"/>
    <w:rsid w:val="00D603E8"/>
    <w:rsid w:val="00D618FE"/>
    <w:rsid w:val="00D6574E"/>
    <w:rsid w:val="00D735DB"/>
    <w:rsid w:val="00D736E9"/>
    <w:rsid w:val="00D809FC"/>
    <w:rsid w:val="00D81A38"/>
    <w:rsid w:val="00D82BEE"/>
    <w:rsid w:val="00D83490"/>
    <w:rsid w:val="00D83750"/>
    <w:rsid w:val="00D859CC"/>
    <w:rsid w:val="00D9658E"/>
    <w:rsid w:val="00D9774E"/>
    <w:rsid w:val="00DA4E9F"/>
    <w:rsid w:val="00DA6E81"/>
    <w:rsid w:val="00DA740E"/>
    <w:rsid w:val="00DB0326"/>
    <w:rsid w:val="00DB6502"/>
    <w:rsid w:val="00DC02CF"/>
    <w:rsid w:val="00DC0718"/>
    <w:rsid w:val="00DC12FB"/>
    <w:rsid w:val="00DC1C68"/>
    <w:rsid w:val="00DC4DDA"/>
    <w:rsid w:val="00DC5A69"/>
    <w:rsid w:val="00DC77F9"/>
    <w:rsid w:val="00DC7F34"/>
    <w:rsid w:val="00DD1709"/>
    <w:rsid w:val="00DD709C"/>
    <w:rsid w:val="00DE72D4"/>
    <w:rsid w:val="00DE744A"/>
    <w:rsid w:val="00DE752F"/>
    <w:rsid w:val="00DF19C6"/>
    <w:rsid w:val="00DF6D9D"/>
    <w:rsid w:val="00E00255"/>
    <w:rsid w:val="00E00499"/>
    <w:rsid w:val="00E070CD"/>
    <w:rsid w:val="00E14A4D"/>
    <w:rsid w:val="00E15F18"/>
    <w:rsid w:val="00E20269"/>
    <w:rsid w:val="00E22538"/>
    <w:rsid w:val="00E23439"/>
    <w:rsid w:val="00E274B2"/>
    <w:rsid w:val="00E32062"/>
    <w:rsid w:val="00E32410"/>
    <w:rsid w:val="00E37E8C"/>
    <w:rsid w:val="00E43665"/>
    <w:rsid w:val="00E45B17"/>
    <w:rsid w:val="00E50C2D"/>
    <w:rsid w:val="00E5213F"/>
    <w:rsid w:val="00E52B0B"/>
    <w:rsid w:val="00E558A1"/>
    <w:rsid w:val="00E56778"/>
    <w:rsid w:val="00E6220A"/>
    <w:rsid w:val="00E62633"/>
    <w:rsid w:val="00E633DC"/>
    <w:rsid w:val="00E64F40"/>
    <w:rsid w:val="00E6672A"/>
    <w:rsid w:val="00E67693"/>
    <w:rsid w:val="00E67C2A"/>
    <w:rsid w:val="00E7002D"/>
    <w:rsid w:val="00E7432B"/>
    <w:rsid w:val="00E77911"/>
    <w:rsid w:val="00E80790"/>
    <w:rsid w:val="00E829B8"/>
    <w:rsid w:val="00E83E4A"/>
    <w:rsid w:val="00E863F9"/>
    <w:rsid w:val="00E8795F"/>
    <w:rsid w:val="00E95C9D"/>
    <w:rsid w:val="00EA0E4F"/>
    <w:rsid w:val="00EA1D86"/>
    <w:rsid w:val="00EA2643"/>
    <w:rsid w:val="00EA34DC"/>
    <w:rsid w:val="00EB2330"/>
    <w:rsid w:val="00EB2A9B"/>
    <w:rsid w:val="00EB2B63"/>
    <w:rsid w:val="00EB2D52"/>
    <w:rsid w:val="00EB3310"/>
    <w:rsid w:val="00EB3B4E"/>
    <w:rsid w:val="00EB480A"/>
    <w:rsid w:val="00EC027E"/>
    <w:rsid w:val="00EC3779"/>
    <w:rsid w:val="00EC40F8"/>
    <w:rsid w:val="00EC4D23"/>
    <w:rsid w:val="00ED653F"/>
    <w:rsid w:val="00EE2AA0"/>
    <w:rsid w:val="00EE69FC"/>
    <w:rsid w:val="00EF2837"/>
    <w:rsid w:val="00EF5C8D"/>
    <w:rsid w:val="00EF6C8E"/>
    <w:rsid w:val="00F0038C"/>
    <w:rsid w:val="00F011F1"/>
    <w:rsid w:val="00F041E2"/>
    <w:rsid w:val="00F0631D"/>
    <w:rsid w:val="00F11009"/>
    <w:rsid w:val="00F1723C"/>
    <w:rsid w:val="00F20F76"/>
    <w:rsid w:val="00F210E3"/>
    <w:rsid w:val="00F25A17"/>
    <w:rsid w:val="00F26619"/>
    <w:rsid w:val="00F2755C"/>
    <w:rsid w:val="00F3670F"/>
    <w:rsid w:val="00F37D49"/>
    <w:rsid w:val="00F40D68"/>
    <w:rsid w:val="00F43117"/>
    <w:rsid w:val="00F43420"/>
    <w:rsid w:val="00F44D9A"/>
    <w:rsid w:val="00F509B4"/>
    <w:rsid w:val="00F67109"/>
    <w:rsid w:val="00F7218E"/>
    <w:rsid w:val="00F727D1"/>
    <w:rsid w:val="00F742BF"/>
    <w:rsid w:val="00F80D2C"/>
    <w:rsid w:val="00F82248"/>
    <w:rsid w:val="00F82D02"/>
    <w:rsid w:val="00F83528"/>
    <w:rsid w:val="00F86934"/>
    <w:rsid w:val="00F9085C"/>
    <w:rsid w:val="00F90D10"/>
    <w:rsid w:val="00F912C1"/>
    <w:rsid w:val="00F913B3"/>
    <w:rsid w:val="00F95304"/>
    <w:rsid w:val="00F96806"/>
    <w:rsid w:val="00FA73BB"/>
    <w:rsid w:val="00FA7BCF"/>
    <w:rsid w:val="00FB33BE"/>
    <w:rsid w:val="00FB51F2"/>
    <w:rsid w:val="00FB5793"/>
    <w:rsid w:val="00FC560A"/>
    <w:rsid w:val="00FC61A2"/>
    <w:rsid w:val="00FD23D5"/>
    <w:rsid w:val="00FD4385"/>
    <w:rsid w:val="00FE2FC2"/>
    <w:rsid w:val="00FE4A2A"/>
    <w:rsid w:val="00FE4D37"/>
    <w:rsid w:val="00FF4AB5"/>
    <w:rsid w:val="00FF532F"/>
    <w:rsid w:val="00FF53D3"/>
    <w:rsid w:val="00FF6184"/>
    <w:rsid w:val="00FF7901"/>
    <w:rsid w:val="03A714A6"/>
    <w:rsid w:val="03FD5967"/>
    <w:rsid w:val="04C8213D"/>
    <w:rsid w:val="04E35DC0"/>
    <w:rsid w:val="05F035F0"/>
    <w:rsid w:val="06F975B0"/>
    <w:rsid w:val="07DB3BFF"/>
    <w:rsid w:val="0D531611"/>
    <w:rsid w:val="12336B6B"/>
    <w:rsid w:val="14255524"/>
    <w:rsid w:val="1ECA3D89"/>
    <w:rsid w:val="28406118"/>
    <w:rsid w:val="29167C98"/>
    <w:rsid w:val="297A560F"/>
    <w:rsid w:val="2A8A37F8"/>
    <w:rsid w:val="2B144428"/>
    <w:rsid w:val="2CEA38C5"/>
    <w:rsid w:val="3241706E"/>
    <w:rsid w:val="35EB6DD3"/>
    <w:rsid w:val="36DF6106"/>
    <w:rsid w:val="377E79E0"/>
    <w:rsid w:val="37FA67F4"/>
    <w:rsid w:val="39496376"/>
    <w:rsid w:val="41F069A7"/>
    <w:rsid w:val="42560EC2"/>
    <w:rsid w:val="43716E43"/>
    <w:rsid w:val="47AC0D06"/>
    <w:rsid w:val="4CC53B18"/>
    <w:rsid w:val="50152A21"/>
    <w:rsid w:val="56A37B8A"/>
    <w:rsid w:val="618B730C"/>
    <w:rsid w:val="653A620F"/>
    <w:rsid w:val="67B8460E"/>
    <w:rsid w:val="6B143644"/>
    <w:rsid w:val="6DD8450A"/>
    <w:rsid w:val="6DF31860"/>
    <w:rsid w:val="71525805"/>
    <w:rsid w:val="740372A8"/>
    <w:rsid w:val="75845AEB"/>
    <w:rsid w:val="773D428F"/>
    <w:rsid w:val="7A002FF4"/>
    <w:rsid w:val="7D127081"/>
    <w:rsid w:val="7EBD11E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qFormat="1" w:unhideWhenUsed="0" w:uiPriority="0" w:name="toc 2"/>
    <w:lsdException w:qFormat="1" w:unhideWhenUsed="0" w:uiPriority="0" w:name="toc 3"/>
    <w:lsdException w:qFormat="1" w:unhideWhenUsed="0" w:uiPriority="0" w:name="toc 4"/>
    <w:lsdException w:qFormat="1" w:unhideWhenUsed="0" w:uiPriority="0" w:name="toc 5"/>
    <w:lsdException w:qFormat="1" w:unhideWhenUsed="0" w:uiPriority="0" w:name="toc 6"/>
    <w:lsdException w:qFormat="1" w:unhideWhenUsed="0" w:uiPriority="0" w:name="toc 7"/>
    <w:lsdException w:qFormat="1" w:unhideWhenUsed="0" w:uiPriority="0" w:name="toc 8"/>
    <w:lsdException w:qFormat="1" w:unhideWhenUsed="0" w:uiPriority="0" w:name="toc 9"/>
    <w:lsdException w:qFormat="1" w:unhideWhenUsed="0" w:uiPriority="0" w:semiHidden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name="footnote reference"/>
    <w:lsdException w:qFormat="1" w:unhideWhenUsed="0" w:uiPriority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qFormat/>
    <w:uiPriority w:val="0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40">
    <w:name w:val="Default Paragraph Font"/>
    <w:semiHidden/>
    <w:unhideWhenUsed/>
    <w:qFormat/>
    <w:uiPriority w:val="1"/>
  </w:style>
  <w:style w:type="table" w:default="1" w:styleId="3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2"/>
    <w:next w:val="1"/>
    <w:semiHidden/>
    <w:qFormat/>
    <w:uiPriority w:val="0"/>
  </w:style>
  <w:style w:type="paragraph" w:styleId="12">
    <w:name w:val="toc 6"/>
    <w:basedOn w:val="13"/>
    <w:next w:val="1"/>
    <w:semiHidden/>
    <w:qFormat/>
    <w:uiPriority w:val="0"/>
  </w:style>
  <w:style w:type="paragraph" w:styleId="13">
    <w:name w:val="toc 5"/>
    <w:basedOn w:val="14"/>
    <w:next w:val="1"/>
    <w:semiHidden/>
    <w:qFormat/>
    <w:uiPriority w:val="0"/>
  </w:style>
  <w:style w:type="paragraph" w:styleId="14">
    <w:name w:val="toc 4"/>
    <w:basedOn w:val="15"/>
    <w:next w:val="1"/>
    <w:semiHidden/>
    <w:qFormat/>
    <w:uiPriority w:val="0"/>
  </w:style>
  <w:style w:type="paragraph" w:styleId="15">
    <w:name w:val="toc 3"/>
    <w:basedOn w:val="16"/>
    <w:next w:val="1"/>
    <w:semiHidden/>
    <w:qFormat/>
    <w:uiPriority w:val="0"/>
  </w:style>
  <w:style w:type="paragraph" w:styleId="16">
    <w:name w:val="toc 2"/>
    <w:basedOn w:val="17"/>
    <w:next w:val="1"/>
    <w:semiHidden/>
    <w:qFormat/>
    <w:uiPriority w:val="0"/>
  </w:style>
  <w:style w:type="paragraph" w:styleId="17">
    <w:name w:val="toc 1"/>
    <w:next w:val="1"/>
    <w:semiHidden/>
    <w:qFormat/>
    <w:uiPriority w:val="0"/>
    <w:pPr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styleId="18">
    <w:name w:val="Normal Indent"/>
    <w:basedOn w:val="1"/>
    <w:qFormat/>
    <w:uiPriority w:val="0"/>
    <w:pPr>
      <w:ind w:firstLine="420"/>
    </w:pPr>
  </w:style>
  <w:style w:type="paragraph" w:styleId="19">
    <w:name w:val="Document Map"/>
    <w:basedOn w:val="1"/>
    <w:semiHidden/>
    <w:qFormat/>
    <w:uiPriority w:val="0"/>
    <w:pPr>
      <w:shd w:val="clear" w:color="auto" w:fill="000080"/>
    </w:pPr>
  </w:style>
  <w:style w:type="paragraph" w:styleId="20">
    <w:name w:val="toa heading"/>
    <w:basedOn w:val="1"/>
    <w:next w:val="1"/>
    <w:semiHidden/>
    <w:qFormat/>
    <w:uiPriority w:val="0"/>
    <w:pPr>
      <w:widowControl/>
      <w:tabs>
        <w:tab w:val="left" w:pos="720"/>
      </w:tabs>
    </w:pPr>
    <w:rPr>
      <w:b/>
      <w:kern w:val="0"/>
      <w:sz w:val="22"/>
    </w:rPr>
  </w:style>
  <w:style w:type="paragraph" w:styleId="21">
    <w:name w:val="annotation text"/>
    <w:basedOn w:val="1"/>
    <w:link w:val="128"/>
    <w:semiHidden/>
    <w:qFormat/>
    <w:uiPriority w:val="0"/>
    <w:pPr>
      <w:jc w:val="left"/>
    </w:pPr>
  </w:style>
  <w:style w:type="paragraph" w:styleId="22">
    <w:name w:val="Body Text"/>
    <w:basedOn w:val="1"/>
    <w:qFormat/>
    <w:uiPriority w:val="0"/>
    <w:pPr>
      <w:spacing w:after="120"/>
    </w:pPr>
  </w:style>
  <w:style w:type="paragraph" w:styleId="23">
    <w:name w:val="Body Text Indent"/>
    <w:basedOn w:val="1"/>
    <w:qFormat/>
    <w:uiPriority w:val="0"/>
    <w:pPr>
      <w:ind w:left="420" w:hanging="420" w:hangingChars="200"/>
    </w:pPr>
  </w:style>
  <w:style w:type="paragraph" w:styleId="24">
    <w:name w:val="HTML Address"/>
    <w:basedOn w:val="1"/>
    <w:qFormat/>
    <w:uiPriority w:val="0"/>
    <w:rPr>
      <w:i/>
      <w:iCs/>
    </w:rPr>
  </w:style>
  <w:style w:type="paragraph" w:styleId="25">
    <w:name w:val="Plain Text"/>
    <w:basedOn w:val="1"/>
    <w:qFormat/>
    <w:uiPriority w:val="0"/>
    <w:rPr>
      <w:rFonts w:ascii="宋体" w:hAnsi="Courier New"/>
      <w:szCs w:val="21"/>
    </w:rPr>
  </w:style>
  <w:style w:type="paragraph" w:styleId="26">
    <w:name w:val="toc 8"/>
    <w:basedOn w:val="11"/>
    <w:next w:val="1"/>
    <w:semiHidden/>
    <w:qFormat/>
    <w:uiPriority w:val="0"/>
  </w:style>
  <w:style w:type="paragraph" w:styleId="27">
    <w:name w:val="Date"/>
    <w:basedOn w:val="1"/>
    <w:next w:val="1"/>
    <w:qFormat/>
    <w:uiPriority w:val="0"/>
    <w:rPr>
      <w:rFonts w:ascii="黑体" w:eastAsia="黑体"/>
      <w:b/>
    </w:rPr>
  </w:style>
  <w:style w:type="paragraph" w:styleId="28">
    <w:name w:val="Balloon Text"/>
    <w:basedOn w:val="1"/>
    <w:semiHidden/>
    <w:qFormat/>
    <w:uiPriority w:val="0"/>
    <w:rPr>
      <w:sz w:val="18"/>
      <w:szCs w:val="18"/>
    </w:rPr>
  </w:style>
  <w:style w:type="paragraph" w:styleId="29">
    <w:name w:val="footer"/>
    <w:basedOn w:val="1"/>
    <w:link w:val="64"/>
    <w:qFormat/>
    <w:uiPriority w:val="99"/>
    <w:pPr>
      <w:tabs>
        <w:tab w:val="center" w:pos="4153"/>
        <w:tab w:val="right" w:pos="8306"/>
      </w:tabs>
      <w:snapToGrid w:val="0"/>
      <w:ind w:right="210" w:rightChars="100"/>
      <w:jc w:val="right"/>
    </w:pPr>
    <w:rPr>
      <w:sz w:val="18"/>
      <w:szCs w:val="18"/>
    </w:rPr>
  </w:style>
  <w:style w:type="paragraph" w:styleId="30">
    <w:name w:val="header"/>
    <w:basedOn w:val="1"/>
    <w:link w:val="6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1">
    <w:name w:val="footnote text"/>
    <w:basedOn w:val="1"/>
    <w:semiHidden/>
    <w:qFormat/>
    <w:uiPriority w:val="0"/>
    <w:pPr>
      <w:snapToGrid w:val="0"/>
      <w:jc w:val="left"/>
    </w:pPr>
    <w:rPr>
      <w:sz w:val="18"/>
      <w:szCs w:val="18"/>
    </w:rPr>
  </w:style>
  <w:style w:type="paragraph" w:styleId="32">
    <w:name w:val="Body Text Indent 3"/>
    <w:basedOn w:val="1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33">
    <w:name w:val="toc 9"/>
    <w:basedOn w:val="26"/>
    <w:next w:val="1"/>
    <w:semiHidden/>
    <w:qFormat/>
    <w:uiPriority w:val="0"/>
  </w:style>
  <w:style w:type="paragraph" w:styleId="34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paragraph" w:styleId="3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36">
    <w:name w:val="Title"/>
    <w:basedOn w:val="1"/>
    <w:link w:val="62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37">
    <w:name w:val="annotation subject"/>
    <w:basedOn w:val="21"/>
    <w:next w:val="21"/>
    <w:semiHidden/>
    <w:qFormat/>
    <w:uiPriority w:val="0"/>
    <w:rPr>
      <w:b/>
      <w:bCs/>
    </w:rPr>
  </w:style>
  <w:style w:type="table" w:styleId="39">
    <w:name w:val="Table Grid"/>
    <w:basedOn w:val="38"/>
    <w:qFormat/>
    <w:uiPriority w:val="59"/>
    <w:rPr>
      <w:rFonts w:ascii="Calibri" w:hAnsi="Calibri"/>
      <w:kern w:val="2"/>
      <w:sz w:val="21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41">
    <w:name w:val="page number"/>
    <w:qFormat/>
    <w:uiPriority w:val="0"/>
    <w:rPr>
      <w:rFonts w:ascii="Times New Roman" w:hAnsi="Times New Roman" w:eastAsia="宋体"/>
      <w:sz w:val="18"/>
    </w:rPr>
  </w:style>
  <w:style w:type="character" w:styleId="42">
    <w:name w:val="FollowedHyperlink"/>
    <w:qFormat/>
    <w:uiPriority w:val="0"/>
    <w:rPr>
      <w:color w:val="800080"/>
      <w:u w:val="single"/>
    </w:rPr>
  </w:style>
  <w:style w:type="character" w:styleId="43">
    <w:name w:val="HTML Definition"/>
    <w:qFormat/>
    <w:uiPriority w:val="0"/>
    <w:rPr>
      <w:i/>
      <w:iCs/>
    </w:rPr>
  </w:style>
  <w:style w:type="character" w:styleId="44">
    <w:name w:val="HTML Typewriter"/>
    <w:qFormat/>
    <w:uiPriority w:val="0"/>
    <w:rPr>
      <w:rFonts w:ascii="Courier New" w:hAnsi="Courier New"/>
      <w:sz w:val="20"/>
      <w:szCs w:val="20"/>
    </w:rPr>
  </w:style>
  <w:style w:type="character" w:styleId="45">
    <w:name w:val="HTML Acronym"/>
    <w:basedOn w:val="40"/>
    <w:qFormat/>
    <w:uiPriority w:val="0"/>
  </w:style>
  <w:style w:type="character" w:styleId="46">
    <w:name w:val="HTML Variable"/>
    <w:qFormat/>
    <w:uiPriority w:val="0"/>
    <w:rPr>
      <w:i/>
      <w:iCs/>
    </w:rPr>
  </w:style>
  <w:style w:type="character" w:styleId="47">
    <w:name w:val="Hyperlink"/>
    <w:qFormat/>
    <w:uiPriority w:val="0"/>
    <w:rPr>
      <w:rFonts w:ascii="Times New Roman" w:hAnsi="Times New Roman" w:eastAsia="宋体"/>
      <w:color w:val="auto"/>
      <w:spacing w:val="0"/>
      <w:w w:val="100"/>
      <w:position w:val="0"/>
      <w:sz w:val="21"/>
      <w:u w:val="none"/>
      <w:vertAlign w:val="baseline"/>
    </w:rPr>
  </w:style>
  <w:style w:type="character" w:styleId="48">
    <w:name w:val="HTML Code"/>
    <w:qFormat/>
    <w:uiPriority w:val="0"/>
    <w:rPr>
      <w:rFonts w:ascii="Courier New" w:hAnsi="Courier New"/>
      <w:sz w:val="20"/>
      <w:szCs w:val="20"/>
    </w:rPr>
  </w:style>
  <w:style w:type="character" w:styleId="49">
    <w:name w:val="annotation reference"/>
    <w:semiHidden/>
    <w:qFormat/>
    <w:uiPriority w:val="0"/>
    <w:rPr>
      <w:sz w:val="21"/>
      <w:szCs w:val="21"/>
    </w:rPr>
  </w:style>
  <w:style w:type="character" w:styleId="50">
    <w:name w:val="HTML Cite"/>
    <w:qFormat/>
    <w:uiPriority w:val="0"/>
    <w:rPr>
      <w:i/>
      <w:iCs/>
    </w:rPr>
  </w:style>
  <w:style w:type="character" w:styleId="51">
    <w:name w:val="footnote reference"/>
    <w:semiHidden/>
    <w:qFormat/>
    <w:uiPriority w:val="0"/>
    <w:rPr>
      <w:vertAlign w:val="superscript"/>
    </w:rPr>
  </w:style>
  <w:style w:type="character" w:styleId="52">
    <w:name w:val="HTML Keyboard"/>
    <w:qFormat/>
    <w:uiPriority w:val="0"/>
    <w:rPr>
      <w:rFonts w:ascii="Courier New" w:hAnsi="Courier New"/>
      <w:sz w:val="20"/>
      <w:szCs w:val="20"/>
    </w:rPr>
  </w:style>
  <w:style w:type="character" w:styleId="53">
    <w:name w:val="HTML Sample"/>
    <w:qFormat/>
    <w:uiPriority w:val="0"/>
    <w:rPr>
      <w:rFonts w:ascii="Courier New" w:hAnsi="Courier New"/>
    </w:rPr>
  </w:style>
  <w:style w:type="character" w:customStyle="1" w:styleId="54">
    <w:name w:val="发布"/>
    <w:qFormat/>
    <w:uiPriority w:val="0"/>
    <w:rPr>
      <w:rFonts w:ascii="黑体" w:eastAsia="黑体"/>
      <w:spacing w:val="22"/>
      <w:w w:val="100"/>
      <w:position w:val="3"/>
      <w:sz w:val="28"/>
    </w:rPr>
  </w:style>
  <w:style w:type="character" w:customStyle="1" w:styleId="55">
    <w:name w:val="个人答复风格"/>
    <w:qFormat/>
    <w:uiPriority w:val="0"/>
    <w:rPr>
      <w:rFonts w:ascii="Arial" w:hAnsi="Arial" w:eastAsia="宋体" w:cs="Arial"/>
      <w:color w:val="auto"/>
      <w:sz w:val="20"/>
    </w:rPr>
  </w:style>
  <w:style w:type="character" w:customStyle="1" w:styleId="56">
    <w:name w:val="个人撰写风格"/>
    <w:qFormat/>
    <w:uiPriority w:val="0"/>
    <w:rPr>
      <w:rFonts w:ascii="Arial" w:hAnsi="Arial" w:eastAsia="宋体" w:cs="Arial"/>
      <w:color w:val="auto"/>
      <w:sz w:val="20"/>
    </w:rPr>
  </w:style>
  <w:style w:type="character" w:customStyle="1" w:styleId="57">
    <w:name w:val="mtitle1"/>
    <w:qFormat/>
    <w:uiPriority w:val="0"/>
    <w:rPr>
      <w:rFonts w:hint="default" w:ascii="ˎ̥" w:hAnsi="ˎ̥"/>
      <w:color w:val="000000"/>
      <w:sz w:val="21"/>
      <w:szCs w:val="21"/>
    </w:rPr>
  </w:style>
  <w:style w:type="character" w:customStyle="1" w:styleId="58">
    <w:name w:val="段 Char"/>
    <w:link w:val="59"/>
    <w:qFormat/>
    <w:uiPriority w:val="0"/>
    <w:rPr>
      <w:rFonts w:ascii="宋体"/>
      <w:sz w:val="21"/>
      <w:lang w:val="en-US" w:eastAsia="zh-CN" w:bidi="ar-SA"/>
    </w:rPr>
  </w:style>
  <w:style w:type="paragraph" w:customStyle="1" w:styleId="59">
    <w:name w:val="段"/>
    <w:link w:val="58"/>
    <w:qFormat/>
    <w:uiPriority w:val="0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60">
    <w:name w:val="goog_qs-tidbit-1"/>
    <w:basedOn w:val="40"/>
    <w:qFormat/>
    <w:uiPriority w:val="0"/>
  </w:style>
  <w:style w:type="character" w:customStyle="1" w:styleId="61">
    <w:name w:val="goog_qs-tidbit goog_qs-tidbit-1"/>
    <w:basedOn w:val="40"/>
    <w:qFormat/>
    <w:uiPriority w:val="0"/>
  </w:style>
  <w:style w:type="character" w:customStyle="1" w:styleId="62">
    <w:name w:val="标题 Char"/>
    <w:link w:val="36"/>
    <w:qFormat/>
    <w:locked/>
    <w:uiPriority w:val="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63">
    <w:name w:val="页眉 Char"/>
    <w:link w:val="30"/>
    <w:qFormat/>
    <w:locked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64">
    <w:name w:val="页脚 Char"/>
    <w:link w:val="29"/>
    <w:qFormat/>
    <w:uiPriority w:val="99"/>
    <w:rPr>
      <w:kern w:val="2"/>
      <w:sz w:val="18"/>
      <w:szCs w:val="18"/>
    </w:rPr>
  </w:style>
  <w:style w:type="paragraph" w:customStyle="1" w:styleId="65">
    <w:name w:val="示例"/>
    <w:next w:val="59"/>
    <w:qFormat/>
    <w:uiPriority w:val="0"/>
    <w:pPr>
      <w:numPr>
        <w:ilvl w:val="0"/>
        <w:numId w:val="1"/>
      </w:numPr>
      <w:tabs>
        <w:tab w:val="left" w:pos="816"/>
        <w:tab w:val="clear" w:pos="1120"/>
      </w:tabs>
      <w:ind w:firstLine="419" w:firstLineChars="233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66">
    <w:name w:val="二级无标题条"/>
    <w:basedOn w:val="1"/>
    <w:qFormat/>
    <w:uiPriority w:val="0"/>
    <w:pPr>
      <w:numPr>
        <w:ilvl w:val="3"/>
        <w:numId w:val="2"/>
      </w:numPr>
    </w:pPr>
  </w:style>
  <w:style w:type="paragraph" w:customStyle="1" w:styleId="67">
    <w:name w:val="其他发布部门"/>
    <w:basedOn w:val="68"/>
    <w:qFormat/>
    <w:uiPriority w:val="0"/>
    <w:pPr>
      <w:spacing w:line="0" w:lineRule="atLeast"/>
    </w:pPr>
    <w:rPr>
      <w:rFonts w:ascii="黑体" w:eastAsia="黑体"/>
      <w:b w:val="0"/>
    </w:rPr>
  </w:style>
  <w:style w:type="paragraph" w:customStyle="1" w:styleId="68">
    <w:name w:val="发布部门"/>
    <w:next w:val="59"/>
    <w:qFormat/>
    <w:uiPriority w:val="0"/>
    <w:pPr>
      <w:jc w:val="center"/>
    </w:pPr>
    <w:rPr>
      <w:rFonts w:ascii="宋体" w:hAnsi="Times New Roman" w:eastAsia="宋体" w:cs="Times New Roman"/>
      <w:b/>
      <w:spacing w:val="20"/>
      <w:w w:val="135"/>
      <w:sz w:val="36"/>
      <w:lang w:val="en-US" w:eastAsia="zh-CN" w:bidi="ar-SA"/>
    </w:rPr>
  </w:style>
  <w:style w:type="paragraph" w:customStyle="1" w:styleId="69">
    <w:name w:val="标准书眉_偶数页"/>
    <w:basedOn w:val="70"/>
    <w:next w:val="1"/>
    <w:qFormat/>
    <w:uiPriority w:val="0"/>
    <w:pPr>
      <w:tabs>
        <w:tab w:val="center" w:pos="4154"/>
        <w:tab w:val="right" w:pos="8306"/>
      </w:tabs>
      <w:jc w:val="left"/>
    </w:pPr>
  </w:style>
  <w:style w:type="paragraph" w:customStyle="1" w:styleId="70">
    <w:name w:val="标准书眉_奇数页"/>
    <w:next w:val="1"/>
    <w:qFormat/>
    <w:uiPriority w:val="0"/>
    <w:pPr>
      <w:tabs>
        <w:tab w:val="center" w:pos="4154"/>
        <w:tab w:val="right" w:pos="8306"/>
      </w:tabs>
      <w:spacing w:after="120"/>
      <w:jc w:val="right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71">
    <w:name w:val="附录四级条标题"/>
    <w:basedOn w:val="72"/>
    <w:next w:val="59"/>
    <w:qFormat/>
    <w:uiPriority w:val="0"/>
    <w:pPr>
      <w:numPr>
        <w:ilvl w:val="5"/>
      </w:numPr>
      <w:outlineLvl w:val="5"/>
    </w:pPr>
  </w:style>
  <w:style w:type="paragraph" w:customStyle="1" w:styleId="72">
    <w:name w:val="附录三级条标题"/>
    <w:basedOn w:val="73"/>
    <w:next w:val="59"/>
    <w:qFormat/>
    <w:uiPriority w:val="0"/>
    <w:pPr>
      <w:numPr>
        <w:ilvl w:val="4"/>
      </w:numPr>
      <w:outlineLvl w:val="4"/>
    </w:pPr>
  </w:style>
  <w:style w:type="paragraph" w:customStyle="1" w:styleId="73">
    <w:name w:val="附录二级条标题"/>
    <w:basedOn w:val="74"/>
    <w:next w:val="59"/>
    <w:qFormat/>
    <w:uiPriority w:val="0"/>
    <w:pPr>
      <w:numPr>
        <w:ilvl w:val="3"/>
      </w:numPr>
      <w:outlineLvl w:val="3"/>
    </w:pPr>
  </w:style>
  <w:style w:type="paragraph" w:customStyle="1" w:styleId="74">
    <w:name w:val="附录一级条标题"/>
    <w:basedOn w:val="75"/>
    <w:next w:val="59"/>
    <w:qFormat/>
    <w:uiPriority w:val="0"/>
    <w:pPr>
      <w:numPr>
        <w:ilvl w:val="2"/>
      </w:numPr>
      <w:autoSpaceDN w:val="0"/>
      <w:spacing w:beforeLines="0" w:afterLines="0"/>
      <w:outlineLvl w:val="2"/>
    </w:pPr>
  </w:style>
  <w:style w:type="paragraph" w:customStyle="1" w:styleId="75">
    <w:name w:val="附录章标题"/>
    <w:next w:val="59"/>
    <w:qFormat/>
    <w:uiPriority w:val="0"/>
    <w:pPr>
      <w:numPr>
        <w:ilvl w:val="1"/>
        <w:numId w:val="3"/>
      </w:numPr>
      <w:wordWrap w:val="0"/>
      <w:overflowPunct w:val="0"/>
      <w:autoSpaceDE w:val="0"/>
      <w:spacing w:beforeLines="50" w:afterLines="50"/>
      <w:jc w:val="both"/>
      <w:textAlignment w:val="baseline"/>
      <w:outlineLvl w:val="1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76">
    <w:name w:val="一级条标题"/>
    <w:basedOn w:val="77"/>
    <w:next w:val="59"/>
    <w:qFormat/>
    <w:uiPriority w:val="0"/>
    <w:pPr>
      <w:spacing w:beforeLines="0" w:afterLines="0"/>
      <w:outlineLvl w:val="2"/>
    </w:pPr>
  </w:style>
  <w:style w:type="paragraph" w:customStyle="1" w:styleId="77">
    <w:name w:val="章标题"/>
    <w:next w:val="59"/>
    <w:qFormat/>
    <w:uiPriority w:val="0"/>
    <w:pPr>
      <w:spacing w:beforeLines="50" w:afterLines="50"/>
      <w:jc w:val="both"/>
      <w:outlineLvl w:val="1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78">
    <w:name w:val="前言、引言标题"/>
    <w:next w:val="1"/>
    <w:qFormat/>
    <w:uiPriority w:val="0"/>
    <w:pPr>
      <w:numPr>
        <w:ilvl w:val="0"/>
        <w:numId w:val="4"/>
      </w:numPr>
      <w:shd w:val="clear" w:color="FFFFFF" w:fill="FFFFFF"/>
      <w:spacing w:before="640" w:after="5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  <w:style w:type="paragraph" w:customStyle="1" w:styleId="79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80">
    <w:name w:val="三级条标题"/>
    <w:basedOn w:val="81"/>
    <w:next w:val="59"/>
    <w:qFormat/>
    <w:uiPriority w:val="0"/>
    <w:pPr>
      <w:numPr>
        <w:ilvl w:val="4"/>
        <w:numId w:val="4"/>
      </w:numPr>
      <w:outlineLvl w:val="4"/>
    </w:pPr>
  </w:style>
  <w:style w:type="paragraph" w:customStyle="1" w:styleId="81">
    <w:name w:val="二级条标题"/>
    <w:basedOn w:val="76"/>
    <w:next w:val="59"/>
    <w:qFormat/>
    <w:uiPriority w:val="0"/>
    <w:pPr>
      <w:outlineLvl w:val="3"/>
    </w:pPr>
  </w:style>
  <w:style w:type="paragraph" w:customStyle="1" w:styleId="82">
    <w:name w:val="标准称谓"/>
    <w:next w:val="1"/>
    <w:qFormat/>
    <w:uiPriority w:val="0"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hAnsi="Times New Roman" w:eastAsia="宋体" w:cs="Times New Roman"/>
      <w:b/>
      <w:bCs/>
      <w:spacing w:val="20"/>
      <w:w w:val="148"/>
      <w:sz w:val="52"/>
      <w:lang w:val="en-US" w:eastAsia="zh-CN" w:bidi="ar-SA"/>
    </w:rPr>
  </w:style>
  <w:style w:type="paragraph" w:customStyle="1" w:styleId="83">
    <w:name w:val="附录五级条标题"/>
    <w:basedOn w:val="71"/>
    <w:next w:val="59"/>
    <w:qFormat/>
    <w:uiPriority w:val="0"/>
    <w:pPr>
      <w:numPr>
        <w:ilvl w:val="6"/>
      </w:numPr>
      <w:outlineLvl w:val="6"/>
    </w:pPr>
  </w:style>
  <w:style w:type="paragraph" w:customStyle="1" w:styleId="84">
    <w:name w:val="标准书眉一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85">
    <w:name w:val="标准标志"/>
    <w:next w:val="1"/>
    <w:qFormat/>
    <w:uiPriority w:val="0"/>
    <w:pPr>
      <w:shd w:val="solid" w:color="FFFFFF" w:fill="FFFFFF"/>
      <w:spacing w:line="0" w:lineRule="atLeast"/>
      <w:jc w:val="right"/>
    </w:pPr>
    <w:rPr>
      <w:rFonts w:ascii="Times New Roman" w:hAnsi="Times New Roman" w:eastAsia="宋体" w:cs="Times New Roman"/>
      <w:b/>
      <w:w w:val="130"/>
      <w:sz w:val="96"/>
      <w:lang w:val="en-US" w:eastAsia="zh-CN" w:bidi="ar-SA"/>
    </w:rPr>
  </w:style>
  <w:style w:type="paragraph" w:customStyle="1" w:styleId="86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87">
    <w:name w:val="其他标准称谓"/>
    <w:qFormat/>
    <w:uiPriority w:val="0"/>
    <w:pPr>
      <w:spacing w:line="0" w:lineRule="atLeast"/>
      <w:jc w:val="distribute"/>
    </w:pPr>
    <w:rPr>
      <w:rFonts w:ascii="黑体" w:hAnsi="宋体" w:eastAsia="黑体" w:cs="Times New Roman"/>
      <w:sz w:val="52"/>
      <w:lang w:val="en-US" w:eastAsia="zh-CN" w:bidi="ar-SA"/>
    </w:rPr>
  </w:style>
  <w:style w:type="paragraph" w:customStyle="1" w:styleId="88">
    <w:name w:val="参考文献、索引标题"/>
    <w:basedOn w:val="78"/>
    <w:next w:val="1"/>
    <w:qFormat/>
    <w:uiPriority w:val="0"/>
    <w:pPr>
      <w:numPr>
        <w:numId w:val="0"/>
      </w:numPr>
      <w:spacing w:after="200"/>
    </w:pPr>
    <w:rPr>
      <w:sz w:val="21"/>
    </w:rPr>
  </w:style>
  <w:style w:type="paragraph" w:customStyle="1" w:styleId="89">
    <w:name w:val="发布日期"/>
    <w:qFormat/>
    <w:uiPriority w:val="0"/>
    <w:rPr>
      <w:rFonts w:ascii="Times New Roman" w:hAnsi="Times New Roman" w:eastAsia="黑体" w:cs="Times New Roman"/>
      <w:sz w:val="28"/>
      <w:lang w:val="en-US" w:eastAsia="zh-CN" w:bidi="ar-SA"/>
    </w:rPr>
  </w:style>
  <w:style w:type="paragraph" w:customStyle="1" w:styleId="90">
    <w:name w:val="封面标准号1"/>
    <w:qFormat/>
    <w:uiPriority w:val="0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91">
    <w:name w:val="实施日期"/>
    <w:basedOn w:val="89"/>
    <w:qFormat/>
    <w:uiPriority w:val="0"/>
    <w:pPr>
      <w:jc w:val="right"/>
    </w:pPr>
  </w:style>
  <w:style w:type="paragraph" w:customStyle="1" w:styleId="92">
    <w:name w:val="封面标准号2"/>
    <w:basedOn w:val="90"/>
    <w:qFormat/>
    <w:uiPriority w:val="0"/>
    <w:pPr>
      <w:adjustRightInd w:val="0"/>
      <w:spacing w:before="357" w:line="280" w:lineRule="exact"/>
    </w:pPr>
  </w:style>
  <w:style w:type="paragraph" w:customStyle="1" w:styleId="93">
    <w:name w:val="封面标准代替信息"/>
    <w:basedOn w:val="92"/>
    <w:qFormat/>
    <w:uiPriority w:val="0"/>
    <w:pPr>
      <w:spacing w:before="57"/>
    </w:pPr>
    <w:rPr>
      <w:rFonts w:ascii="宋体"/>
      <w:sz w:val="21"/>
    </w:rPr>
  </w:style>
  <w:style w:type="paragraph" w:customStyle="1" w:styleId="94">
    <w:name w:val="封面标准名称"/>
    <w:qFormat/>
    <w:uiPriority w:val="0"/>
    <w:pPr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  <w:style w:type="paragraph" w:customStyle="1" w:styleId="95">
    <w:name w:val="封面标准文稿编辑信息"/>
    <w:qFormat/>
    <w:uiPriority w:val="0"/>
    <w:pPr>
      <w:spacing w:before="180" w:line="180" w:lineRule="exact"/>
      <w:jc w:val="center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96">
    <w:name w:val="封面标准文稿类别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customStyle="1" w:styleId="97">
    <w:name w:val="封面标准英文名称"/>
    <w:qFormat/>
    <w:uiPriority w:val="0"/>
    <w:pPr>
      <w:widowControl w:val="0"/>
      <w:spacing w:before="370" w:line="400" w:lineRule="exact"/>
      <w:jc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98">
    <w:name w:val="封面一致性程度标识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8"/>
      <w:lang w:val="en-US" w:eastAsia="zh-CN" w:bidi="ar-SA"/>
    </w:rPr>
  </w:style>
  <w:style w:type="paragraph" w:customStyle="1" w:styleId="99">
    <w:name w:val="封面正文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100">
    <w:name w:val="附录标识"/>
    <w:basedOn w:val="78"/>
    <w:qFormat/>
    <w:uiPriority w:val="0"/>
    <w:pPr>
      <w:numPr>
        <w:ilvl w:val="0"/>
        <w:numId w:val="3"/>
      </w:numPr>
      <w:tabs>
        <w:tab w:val="left" w:pos="6405"/>
      </w:tabs>
      <w:spacing w:after="200"/>
    </w:pPr>
    <w:rPr>
      <w:sz w:val="21"/>
    </w:rPr>
  </w:style>
  <w:style w:type="paragraph" w:customStyle="1" w:styleId="101">
    <w:name w:val="附录表标题"/>
    <w:next w:val="59"/>
    <w:qFormat/>
    <w:uiPriority w:val="0"/>
    <w:pPr>
      <w:jc w:val="center"/>
      <w:textAlignment w:val="baseline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102">
    <w:name w:val="附录图标题"/>
    <w:next w:val="59"/>
    <w:qFormat/>
    <w:uiPriority w:val="0"/>
    <w:pPr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03">
    <w:name w:val="列项——"/>
    <w:qFormat/>
    <w:uiPriority w:val="0"/>
    <w:pPr>
      <w:widowControl w:val="0"/>
      <w:numPr>
        <w:ilvl w:val="0"/>
        <w:numId w:val="5"/>
      </w:numPr>
      <w:tabs>
        <w:tab w:val="left" w:pos="854"/>
        <w:tab w:val="clear" w:pos="1140"/>
      </w:tabs>
      <w:ind w:left="200" w:leftChars="200" w:hanging="20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4">
    <w:name w:val="列项·"/>
    <w:qFormat/>
    <w:uiPriority w:val="0"/>
    <w:pPr>
      <w:numPr>
        <w:ilvl w:val="0"/>
        <w:numId w:val="6"/>
      </w:numPr>
      <w:tabs>
        <w:tab w:val="left" w:pos="840"/>
        <w:tab w:val="clear" w:pos="1140"/>
      </w:tabs>
      <w:ind w:left="840" w:leftChars="2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5">
    <w:name w:val="目次、标准名称标题"/>
    <w:basedOn w:val="78"/>
    <w:next w:val="59"/>
    <w:qFormat/>
    <w:uiPriority w:val="0"/>
    <w:pPr>
      <w:numPr>
        <w:numId w:val="0"/>
      </w:numPr>
      <w:spacing w:line="460" w:lineRule="exact"/>
    </w:pPr>
  </w:style>
  <w:style w:type="paragraph" w:customStyle="1" w:styleId="106">
    <w:name w:val="目次、索引正文"/>
    <w:qFormat/>
    <w:uiPriority w:val="0"/>
    <w:pPr>
      <w:spacing w:line="320" w:lineRule="exact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7">
    <w:name w:val="三级无标题条"/>
    <w:basedOn w:val="1"/>
    <w:qFormat/>
    <w:uiPriority w:val="0"/>
    <w:pPr>
      <w:numPr>
        <w:ilvl w:val="4"/>
        <w:numId w:val="2"/>
      </w:numPr>
    </w:pPr>
  </w:style>
  <w:style w:type="paragraph" w:customStyle="1" w:styleId="108">
    <w:name w:val="数字编号列项（二级）"/>
    <w:qFormat/>
    <w:uiPriority w:val="0"/>
    <w:pPr>
      <w:ind w:left="1260" w:leftChars="4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9">
    <w:name w:val="四级条标题"/>
    <w:basedOn w:val="80"/>
    <w:next w:val="59"/>
    <w:qFormat/>
    <w:uiPriority w:val="0"/>
    <w:pPr>
      <w:numPr>
        <w:ilvl w:val="5"/>
      </w:numPr>
      <w:outlineLvl w:val="5"/>
    </w:pPr>
  </w:style>
  <w:style w:type="paragraph" w:customStyle="1" w:styleId="110">
    <w:name w:val="四级无标题条"/>
    <w:basedOn w:val="1"/>
    <w:qFormat/>
    <w:uiPriority w:val="0"/>
    <w:pPr>
      <w:numPr>
        <w:ilvl w:val="5"/>
        <w:numId w:val="2"/>
      </w:numPr>
    </w:pPr>
  </w:style>
  <w:style w:type="paragraph" w:customStyle="1" w:styleId="111">
    <w:name w:val="条文脚注"/>
    <w:basedOn w:val="31"/>
    <w:qFormat/>
    <w:uiPriority w:val="0"/>
    <w:pPr>
      <w:ind w:left="780" w:leftChars="200" w:hanging="360" w:hangingChars="200"/>
      <w:jc w:val="both"/>
    </w:pPr>
    <w:rPr>
      <w:rFonts w:ascii="宋体"/>
    </w:rPr>
  </w:style>
  <w:style w:type="paragraph" w:customStyle="1" w:styleId="112">
    <w:name w:val="图表脚注"/>
    <w:next w:val="59"/>
    <w:qFormat/>
    <w:uiPriority w:val="0"/>
    <w:pPr>
      <w:ind w:left="300" w:leftChars="200" w:hanging="100" w:hangingChars="10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113">
    <w:name w:val="文献分类号"/>
    <w:qFormat/>
    <w:uiPriority w:val="0"/>
    <w:pPr>
      <w:widowControl w:val="0"/>
      <w:textAlignment w:val="center"/>
    </w:pPr>
    <w:rPr>
      <w:rFonts w:ascii="Times New Roman" w:hAnsi="Times New Roman" w:eastAsia="黑体" w:cs="Times New Roman"/>
      <w:sz w:val="21"/>
      <w:lang w:val="en-US" w:eastAsia="zh-CN" w:bidi="ar-SA"/>
    </w:rPr>
  </w:style>
  <w:style w:type="paragraph" w:customStyle="1" w:styleId="114">
    <w:name w:val="无标题条"/>
    <w:next w:val="59"/>
    <w:qFormat/>
    <w:uiPriority w:val="0"/>
    <w:pPr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115">
    <w:name w:val="五级条标题"/>
    <w:basedOn w:val="109"/>
    <w:next w:val="59"/>
    <w:qFormat/>
    <w:uiPriority w:val="0"/>
    <w:pPr>
      <w:numPr>
        <w:ilvl w:val="6"/>
      </w:numPr>
      <w:outlineLvl w:val="6"/>
    </w:pPr>
  </w:style>
  <w:style w:type="paragraph" w:customStyle="1" w:styleId="116">
    <w:name w:val="五级无标题条"/>
    <w:basedOn w:val="1"/>
    <w:qFormat/>
    <w:uiPriority w:val="0"/>
    <w:pPr>
      <w:numPr>
        <w:ilvl w:val="6"/>
        <w:numId w:val="2"/>
      </w:numPr>
    </w:pPr>
  </w:style>
  <w:style w:type="paragraph" w:customStyle="1" w:styleId="117">
    <w:name w:val="一级无标题条"/>
    <w:basedOn w:val="1"/>
    <w:qFormat/>
    <w:uiPriority w:val="0"/>
  </w:style>
  <w:style w:type="paragraph" w:customStyle="1" w:styleId="118">
    <w:name w:val="正文表标题"/>
    <w:next w:val="59"/>
    <w:qFormat/>
    <w:uiPriority w:val="0"/>
    <w:pPr>
      <w:numPr>
        <w:ilvl w:val="0"/>
        <w:numId w:val="7"/>
      </w:numPr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19">
    <w:name w:val="正文图标题"/>
    <w:next w:val="59"/>
    <w:qFormat/>
    <w:uiPriority w:val="0"/>
    <w:pPr>
      <w:numPr>
        <w:ilvl w:val="0"/>
        <w:numId w:val="8"/>
      </w:numPr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20">
    <w:name w:val="注："/>
    <w:next w:val="59"/>
    <w:qFormat/>
    <w:uiPriority w:val="0"/>
    <w:pPr>
      <w:widowControl w:val="0"/>
      <w:numPr>
        <w:ilvl w:val="0"/>
        <w:numId w:val="9"/>
      </w:numPr>
      <w:tabs>
        <w:tab w:val="clear" w:pos="1140"/>
      </w:tabs>
      <w:autoSpaceDE w:val="0"/>
      <w:autoSpaceDN w:val="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121">
    <w:name w:val="注×："/>
    <w:qFormat/>
    <w:uiPriority w:val="0"/>
    <w:pPr>
      <w:widowControl w:val="0"/>
      <w:numPr>
        <w:ilvl w:val="0"/>
        <w:numId w:val="10"/>
      </w:numPr>
      <w:tabs>
        <w:tab w:val="left" w:pos="630"/>
        <w:tab w:val="clear" w:pos="900"/>
      </w:tabs>
      <w:autoSpaceDE w:val="0"/>
      <w:autoSpaceDN w:val="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122">
    <w:name w:val="字母编号列项（一级）"/>
    <w:qFormat/>
    <w:uiPriority w:val="0"/>
    <w:pPr>
      <w:ind w:left="840" w:leftChars="2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23">
    <w:name w:val="Char Char Char Char Char Char1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lang w:eastAsia="en-US"/>
    </w:rPr>
  </w:style>
  <w:style w:type="paragraph" w:customStyle="1" w:styleId="124">
    <w:name w:val="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lang w:eastAsia="en-US"/>
    </w:rPr>
  </w:style>
  <w:style w:type="paragraph" w:customStyle="1" w:styleId="125">
    <w:name w:val="_Style 123"/>
    <w:next w:val="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26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27">
    <w:name w:val="列出段落1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character" w:customStyle="1" w:styleId="128">
    <w:name w:val="批注文字 Char"/>
    <w:basedOn w:val="40"/>
    <w:link w:val="21"/>
    <w:semiHidden/>
    <w:qFormat/>
    <w:uiPriority w:val="0"/>
    <w:rPr>
      <w:kern w:val="2"/>
      <w:sz w:val="21"/>
    </w:rPr>
  </w:style>
  <w:style w:type="paragraph" w:customStyle="1" w:styleId="129">
    <w:name w:val="列出段落2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中国标准研究中心</Company>
  <Pages>6</Pages>
  <Words>133</Words>
  <Characters>760</Characters>
  <Lines>6</Lines>
  <Paragraphs>1</Paragraphs>
  <TotalTime>1</TotalTime>
  <ScaleCrop>false</ScaleCrop>
  <LinksUpToDate>false</LinksUpToDate>
  <CharactersWithSpaces>892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2018-06-07T08:29:00Z</dcterms:created>
  <dc:creator>USER</dc:creator>
  <cp:lastModifiedBy>马琳</cp:lastModifiedBy>
  <cp:lastPrinted>2015-09-09T05:55:00Z</cp:lastPrinted>
  <dcterms:modified xsi:type="dcterms:W3CDTF">2026-09-10T01:09:20Z</dcterms:modified>
  <dc:title>小蔗螟检疫鉴定方法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  <property fmtid="{D5CDD505-2E9C-101B-9397-08002B2CF9AE}" pid="3" name="ICV">
    <vt:lpwstr>80EA6733300B4DE3B1773E91D2F91A69_12</vt:lpwstr>
  </property>
</Properties>
</file>