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Microsoft_Visio___1.vsdx" ContentType="application/vnd.ms-visio.drawing"/>
  <Override PartName="/word/embeddings/Microsoft_Visio___2.vsdx" ContentType="application/vnd.ms-visio.drawing"/>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19A1D6">
      <w:pPr>
        <w:autoSpaceDE w:val="0"/>
        <w:autoSpaceDN w:val="0"/>
        <w:adjustRightInd w:val="0"/>
        <w:jc w:val="center"/>
        <w:rPr>
          <w:rFonts w:ascii="方正小标宋简体" w:eastAsia="方正小标宋简体"/>
          <w:sz w:val="32"/>
          <w:szCs w:val="32"/>
        </w:rPr>
      </w:pPr>
      <w:r>
        <w:rPr>
          <w:rFonts w:hint="eastAsia" w:ascii="方正小标宋简体" w:eastAsia="方正小标宋简体"/>
          <w:sz w:val="32"/>
          <w:szCs w:val="32"/>
        </w:rPr>
        <w:t>认证认可</w:t>
      </w:r>
      <w:r>
        <w:rPr>
          <w:rFonts w:ascii="方正小标宋简体" w:eastAsia="方正小标宋简体"/>
          <w:sz w:val="32"/>
          <w:szCs w:val="32"/>
        </w:rPr>
        <w:t>行业标准草案编制说明</w:t>
      </w:r>
    </w:p>
    <w:tbl>
      <w:tblPr>
        <w:tblStyle w:val="38"/>
        <w:tblpPr w:leftFromText="180" w:rightFromText="180" w:vertAnchor="text" w:horzAnchor="margin" w:tblpXSpec="center" w:tblpY="169"/>
        <w:tblW w:w="9384"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794"/>
        <w:gridCol w:w="1384"/>
        <w:gridCol w:w="1155"/>
        <w:gridCol w:w="2105"/>
        <w:gridCol w:w="1128"/>
        <w:gridCol w:w="1818"/>
      </w:tblGrid>
      <w:tr w14:paraId="47C13B30">
        <w:trPr>
          <w:cantSplit/>
          <w:trHeight w:val="168" w:hRule="atLeast"/>
        </w:trPr>
        <w:tc>
          <w:tcPr>
            <w:tcW w:w="9384" w:type="dxa"/>
            <w:gridSpan w:val="6"/>
            <w:tcBorders>
              <w:top w:val="nil"/>
              <w:left w:val="nil"/>
              <w:bottom w:val="nil"/>
              <w:right w:val="nil"/>
            </w:tcBorders>
            <w:vAlign w:val="center"/>
          </w:tcPr>
          <w:p w14:paraId="0A5EA964">
            <w:pPr>
              <w:rPr>
                <w:rFonts w:ascii="宋体" w:hAnsi="宋体"/>
                <w:b/>
                <w:color w:val="000000"/>
                <w:szCs w:val="21"/>
              </w:rPr>
            </w:pPr>
            <w:r>
              <w:rPr>
                <w:rFonts w:hint="eastAsia" w:ascii="宋体" w:hAnsi="宋体"/>
                <w:b/>
                <w:color w:val="000000"/>
                <w:szCs w:val="21"/>
              </w:rPr>
              <w:t>1、基本信息</w:t>
            </w:r>
          </w:p>
        </w:tc>
      </w:tr>
      <w:tr w14:paraId="6110CBED">
        <w:trPr>
          <w:cantSplit/>
          <w:trHeight w:val="568" w:hRule="atLeast"/>
        </w:trPr>
        <w:tc>
          <w:tcPr>
            <w:tcW w:w="1794" w:type="dxa"/>
            <w:vMerge w:val="restart"/>
            <w:tcBorders>
              <w:top w:val="single" w:color="auto" w:sz="4" w:space="0"/>
              <w:left w:val="single" w:color="auto" w:sz="4" w:space="0"/>
              <w:bottom w:val="single" w:color="auto" w:sz="4" w:space="0"/>
              <w:right w:val="single" w:color="auto" w:sz="4" w:space="0"/>
            </w:tcBorders>
            <w:vAlign w:val="center"/>
          </w:tcPr>
          <w:p w14:paraId="1293CCCA">
            <w:pPr>
              <w:ind w:left="141" w:leftChars="67" w:right="176" w:rightChars="84"/>
              <w:rPr>
                <w:rFonts w:ascii="宋体" w:hAnsi="宋体"/>
                <w:color w:val="000000"/>
                <w:szCs w:val="21"/>
              </w:rPr>
            </w:pPr>
            <w:r>
              <w:rPr>
                <w:rFonts w:ascii="宋体" w:hAnsi="宋体"/>
                <w:color w:val="000000"/>
                <w:szCs w:val="21"/>
              </w:rPr>
              <w:t>1.1 标准草案名称</w:t>
            </w:r>
          </w:p>
        </w:tc>
        <w:tc>
          <w:tcPr>
            <w:tcW w:w="1384" w:type="dxa"/>
            <w:tcBorders>
              <w:top w:val="single" w:color="auto" w:sz="4" w:space="0"/>
              <w:left w:val="single" w:color="auto" w:sz="4" w:space="0"/>
              <w:bottom w:val="single" w:color="auto" w:sz="4" w:space="0"/>
              <w:right w:val="single" w:color="auto" w:sz="4" w:space="0"/>
            </w:tcBorders>
            <w:vAlign w:val="center"/>
          </w:tcPr>
          <w:p w14:paraId="12AE26E9">
            <w:pPr>
              <w:jc w:val="center"/>
              <w:rPr>
                <w:rFonts w:ascii="宋体" w:hAnsi="宋体"/>
                <w:color w:val="000000"/>
                <w:szCs w:val="21"/>
              </w:rPr>
            </w:pPr>
            <w:r>
              <w:rPr>
                <w:rFonts w:ascii="宋体" w:hAnsi="宋体"/>
                <w:color w:val="000000"/>
                <w:szCs w:val="21"/>
              </w:rPr>
              <w:t>中文</w:t>
            </w:r>
          </w:p>
        </w:tc>
        <w:tc>
          <w:tcPr>
            <w:tcW w:w="6206" w:type="dxa"/>
            <w:gridSpan w:val="4"/>
            <w:tcBorders>
              <w:top w:val="single" w:color="auto" w:sz="4" w:space="0"/>
              <w:left w:val="single" w:color="auto" w:sz="4" w:space="0"/>
              <w:bottom w:val="single" w:color="auto" w:sz="4" w:space="0"/>
              <w:right w:val="single" w:color="auto" w:sz="4" w:space="0"/>
            </w:tcBorders>
            <w:vAlign w:val="center"/>
          </w:tcPr>
          <w:p w14:paraId="6E2881EE">
            <w:pPr>
              <w:jc w:val="center"/>
              <w:rPr>
                <w:rFonts w:ascii="宋体" w:hAnsi="宋体"/>
                <w:color w:val="000000"/>
                <w:szCs w:val="21"/>
              </w:rPr>
            </w:pPr>
            <w:r>
              <w:rPr>
                <w:rFonts w:hint="eastAsia" w:ascii="宋体" w:hAnsi="宋体"/>
                <w:color w:val="000000"/>
                <w:szCs w:val="21"/>
              </w:rPr>
              <w:t>检验检测机构数据共享规范</w:t>
            </w:r>
          </w:p>
        </w:tc>
      </w:tr>
      <w:tr w14:paraId="599D9A08">
        <w:trPr>
          <w:cantSplit/>
          <w:trHeight w:val="548" w:hRule="atLeast"/>
        </w:trPr>
        <w:tc>
          <w:tcPr>
            <w:tcW w:w="1794" w:type="dxa"/>
            <w:vMerge w:val="continue"/>
            <w:tcBorders>
              <w:top w:val="single" w:color="auto" w:sz="4" w:space="0"/>
              <w:left w:val="single" w:color="auto" w:sz="4" w:space="0"/>
              <w:bottom w:val="single" w:color="auto" w:sz="4" w:space="0"/>
              <w:right w:val="single" w:color="auto" w:sz="4" w:space="0"/>
            </w:tcBorders>
            <w:vAlign w:val="center"/>
          </w:tcPr>
          <w:p w14:paraId="4F29F3F5">
            <w:pPr>
              <w:ind w:left="141" w:leftChars="67" w:right="176" w:rightChars="84"/>
              <w:jc w:val="center"/>
              <w:rPr>
                <w:rFonts w:ascii="宋体" w:hAnsi="宋体"/>
                <w:color w:val="000000"/>
                <w:szCs w:val="21"/>
              </w:rPr>
            </w:pPr>
          </w:p>
        </w:tc>
        <w:tc>
          <w:tcPr>
            <w:tcW w:w="1384" w:type="dxa"/>
            <w:tcBorders>
              <w:top w:val="single" w:color="auto" w:sz="4" w:space="0"/>
              <w:left w:val="single" w:color="auto" w:sz="4" w:space="0"/>
              <w:bottom w:val="single" w:color="auto" w:sz="6" w:space="0"/>
              <w:right w:val="single" w:color="auto" w:sz="4" w:space="0"/>
            </w:tcBorders>
            <w:vAlign w:val="center"/>
          </w:tcPr>
          <w:p w14:paraId="1FB6734F">
            <w:pPr>
              <w:jc w:val="center"/>
              <w:rPr>
                <w:rFonts w:ascii="宋体" w:hAnsi="宋体"/>
                <w:color w:val="000000"/>
                <w:szCs w:val="21"/>
              </w:rPr>
            </w:pPr>
            <w:r>
              <w:rPr>
                <w:rFonts w:ascii="宋体" w:hAnsi="宋体"/>
                <w:color w:val="000000"/>
                <w:szCs w:val="21"/>
              </w:rPr>
              <w:t>英文</w:t>
            </w:r>
          </w:p>
        </w:tc>
        <w:tc>
          <w:tcPr>
            <w:tcW w:w="6206" w:type="dxa"/>
            <w:gridSpan w:val="4"/>
            <w:tcBorders>
              <w:top w:val="single" w:color="auto" w:sz="4" w:space="0"/>
              <w:left w:val="single" w:color="auto" w:sz="4" w:space="0"/>
              <w:bottom w:val="single" w:color="auto" w:sz="4" w:space="0"/>
            </w:tcBorders>
            <w:vAlign w:val="center"/>
          </w:tcPr>
          <w:p w14:paraId="48B2B93E">
            <w:pPr>
              <w:rPr>
                <w:rFonts w:ascii="宋体" w:hAnsi="宋体"/>
                <w:color w:val="000000"/>
                <w:szCs w:val="21"/>
              </w:rPr>
            </w:pPr>
            <w:r>
              <w:rPr>
                <w:rFonts w:ascii="宋体" w:hAnsi="宋体"/>
                <w:color w:val="000000"/>
                <w:szCs w:val="21"/>
              </w:rPr>
              <w:t>Specification for data sharing of inspection and testing institutions</w:t>
            </w:r>
          </w:p>
        </w:tc>
      </w:tr>
      <w:tr w14:paraId="2E729727">
        <w:trPr>
          <w:cantSplit/>
          <w:trHeight w:val="603" w:hRule="atLeast"/>
        </w:trPr>
        <w:tc>
          <w:tcPr>
            <w:tcW w:w="1794" w:type="dxa"/>
            <w:vMerge w:val="restart"/>
            <w:tcBorders>
              <w:right w:val="single" w:color="auto" w:sz="4" w:space="0"/>
            </w:tcBorders>
            <w:vAlign w:val="center"/>
          </w:tcPr>
          <w:p w14:paraId="52108760">
            <w:pPr>
              <w:ind w:left="141" w:leftChars="67" w:right="176" w:rightChars="84"/>
              <w:rPr>
                <w:rFonts w:ascii="宋体" w:hAnsi="宋体"/>
                <w:color w:val="000000"/>
                <w:szCs w:val="21"/>
              </w:rPr>
            </w:pPr>
            <w:r>
              <w:rPr>
                <w:rFonts w:ascii="宋体" w:hAnsi="宋体"/>
                <w:color w:val="000000"/>
                <w:szCs w:val="21"/>
              </w:rPr>
              <w:t>1.2 与国际标准和国外先进标准一致</w:t>
            </w:r>
            <w:r>
              <w:rPr>
                <w:rFonts w:hint="eastAsia" w:ascii="宋体" w:hAnsi="宋体"/>
                <w:color w:val="000000"/>
                <w:szCs w:val="21"/>
              </w:rPr>
              <w:t>性</w:t>
            </w:r>
            <w:r>
              <w:rPr>
                <w:rFonts w:ascii="宋体" w:hAnsi="宋体"/>
                <w:color w:val="000000"/>
                <w:szCs w:val="21"/>
              </w:rPr>
              <w:t>程度情况</w:t>
            </w:r>
          </w:p>
        </w:tc>
        <w:tc>
          <w:tcPr>
            <w:tcW w:w="1384" w:type="dxa"/>
            <w:vMerge w:val="restart"/>
            <w:tcBorders>
              <w:left w:val="single" w:color="auto" w:sz="4" w:space="0"/>
              <w:right w:val="single" w:color="auto" w:sz="4" w:space="0"/>
            </w:tcBorders>
            <w:vAlign w:val="center"/>
          </w:tcPr>
          <w:p w14:paraId="0F15591F">
            <w:pPr>
              <w:rPr>
                <w:rFonts w:ascii="宋体" w:hAnsi="宋体"/>
                <w:color w:val="000000"/>
                <w:szCs w:val="21"/>
              </w:rPr>
            </w:pPr>
            <w:r>
              <w:rPr>
                <w:rFonts w:ascii="宋体" w:hAnsi="宋体"/>
                <w:color w:val="000000"/>
                <w:szCs w:val="21"/>
              </w:rPr>
              <w:t>□等同</w:t>
            </w:r>
            <w:r>
              <w:rPr>
                <w:rFonts w:hint="eastAsia" w:ascii="宋体" w:hAnsi="宋体"/>
                <w:color w:val="000000"/>
                <w:szCs w:val="21"/>
              </w:rPr>
              <w:t>采用</w:t>
            </w:r>
          </w:p>
          <w:p w14:paraId="23A1D13C">
            <w:pPr>
              <w:rPr>
                <w:rFonts w:ascii="宋体" w:hAnsi="宋体"/>
                <w:color w:val="000000"/>
                <w:szCs w:val="21"/>
              </w:rPr>
            </w:pPr>
            <w:r>
              <w:rPr>
                <w:rFonts w:ascii="宋体" w:hAnsi="宋体"/>
                <w:color w:val="000000"/>
                <w:szCs w:val="21"/>
              </w:rPr>
              <w:t>□修改</w:t>
            </w:r>
            <w:r>
              <w:rPr>
                <w:rFonts w:hint="eastAsia" w:ascii="宋体" w:hAnsi="宋体"/>
                <w:color w:val="000000"/>
                <w:szCs w:val="21"/>
              </w:rPr>
              <w:t>采用</w:t>
            </w:r>
          </w:p>
          <w:p w14:paraId="50A636AC">
            <w:pPr>
              <w:rPr>
                <w:rFonts w:ascii="宋体" w:hAnsi="宋体"/>
                <w:color w:val="000000"/>
                <w:szCs w:val="21"/>
              </w:rPr>
            </w:pPr>
            <w:r>
              <w:rPr>
                <w:rFonts w:ascii="宋体" w:hAnsi="宋体"/>
                <w:color w:val="000000"/>
                <w:szCs w:val="21"/>
              </w:rPr>
              <w:t>□非等效</w:t>
            </w:r>
            <w:r>
              <w:rPr>
                <w:rFonts w:hint="eastAsia" w:ascii="宋体" w:hAnsi="宋体"/>
                <w:color w:val="000000"/>
                <w:szCs w:val="21"/>
              </w:rPr>
              <w:t>采用</w:t>
            </w:r>
          </w:p>
          <w:p w14:paraId="0D1839DA">
            <w:pPr>
              <w:rPr>
                <w:rFonts w:ascii="宋体" w:hAnsi="宋体"/>
                <w:color w:val="000000"/>
                <w:szCs w:val="21"/>
              </w:rPr>
            </w:pPr>
            <w:r>
              <w:rPr>
                <w:rFonts w:hint="eastAsia" w:ascii="宋体" w:hAnsi="宋体"/>
                <w:color w:val="000000"/>
                <w:szCs w:val="21"/>
              </w:rPr>
              <w:t>☑未采用</w:t>
            </w:r>
          </w:p>
        </w:tc>
        <w:tc>
          <w:tcPr>
            <w:tcW w:w="1155" w:type="dxa"/>
            <w:tcBorders>
              <w:left w:val="single" w:color="auto" w:sz="4" w:space="0"/>
              <w:bottom w:val="single" w:color="auto" w:sz="4" w:space="0"/>
              <w:right w:val="single" w:color="auto" w:sz="4" w:space="0"/>
            </w:tcBorders>
            <w:vAlign w:val="center"/>
          </w:tcPr>
          <w:p w14:paraId="0FC506A1">
            <w:pPr>
              <w:jc w:val="center"/>
              <w:rPr>
                <w:rFonts w:ascii="宋体" w:hAnsi="宋体"/>
                <w:color w:val="000000"/>
                <w:szCs w:val="21"/>
              </w:rPr>
            </w:pPr>
            <w:r>
              <w:rPr>
                <w:rFonts w:ascii="宋体" w:hAnsi="宋体"/>
                <w:color w:val="000000"/>
                <w:szCs w:val="21"/>
              </w:rPr>
              <w:t>标准</w:t>
            </w:r>
            <w:r>
              <w:rPr>
                <w:rFonts w:hint="eastAsia" w:ascii="宋体" w:hAnsi="宋体"/>
                <w:color w:val="000000"/>
                <w:szCs w:val="21"/>
              </w:rPr>
              <w:t>编</w:t>
            </w:r>
            <w:r>
              <w:rPr>
                <w:rFonts w:ascii="宋体" w:hAnsi="宋体"/>
                <w:color w:val="000000"/>
                <w:szCs w:val="21"/>
              </w:rPr>
              <w:t>号</w:t>
            </w:r>
          </w:p>
        </w:tc>
        <w:tc>
          <w:tcPr>
            <w:tcW w:w="5051" w:type="dxa"/>
            <w:gridSpan w:val="3"/>
            <w:tcBorders>
              <w:left w:val="single" w:color="auto" w:sz="4" w:space="0"/>
              <w:bottom w:val="single" w:color="auto" w:sz="4" w:space="0"/>
            </w:tcBorders>
            <w:vAlign w:val="center"/>
          </w:tcPr>
          <w:p w14:paraId="5944A417">
            <w:pPr>
              <w:rPr>
                <w:rFonts w:ascii="宋体" w:hAnsi="宋体"/>
                <w:color w:val="000000"/>
                <w:szCs w:val="21"/>
              </w:rPr>
            </w:pPr>
            <w:r>
              <w:rPr>
                <w:rFonts w:hint="eastAsia" w:ascii="宋体" w:hAnsi="宋体"/>
                <w:color w:val="000000"/>
                <w:szCs w:val="21"/>
              </w:rPr>
              <w:t>/</w:t>
            </w:r>
          </w:p>
        </w:tc>
      </w:tr>
      <w:tr w14:paraId="488BE55B">
        <w:trPr>
          <w:cantSplit/>
          <w:trHeight w:val="659" w:hRule="atLeast"/>
        </w:trPr>
        <w:tc>
          <w:tcPr>
            <w:tcW w:w="1794" w:type="dxa"/>
            <w:vMerge w:val="continue"/>
            <w:tcBorders>
              <w:right w:val="single" w:color="auto" w:sz="4" w:space="0"/>
            </w:tcBorders>
            <w:vAlign w:val="center"/>
          </w:tcPr>
          <w:p w14:paraId="5F251FA0">
            <w:pPr>
              <w:ind w:left="141" w:leftChars="67" w:right="176" w:rightChars="84"/>
              <w:jc w:val="center"/>
              <w:rPr>
                <w:rFonts w:ascii="宋体" w:hAnsi="宋体"/>
                <w:color w:val="000000"/>
                <w:szCs w:val="21"/>
              </w:rPr>
            </w:pPr>
          </w:p>
        </w:tc>
        <w:tc>
          <w:tcPr>
            <w:tcW w:w="1384" w:type="dxa"/>
            <w:vMerge w:val="continue"/>
            <w:tcBorders>
              <w:left w:val="single" w:color="auto" w:sz="4" w:space="0"/>
              <w:right w:val="single" w:color="auto" w:sz="4" w:space="0"/>
            </w:tcBorders>
            <w:vAlign w:val="center"/>
          </w:tcPr>
          <w:p w14:paraId="1A1910F8">
            <w:pPr>
              <w:jc w:val="center"/>
              <w:rPr>
                <w:rFonts w:ascii="宋体" w:hAnsi="宋体"/>
                <w:color w:val="000000"/>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07607E3B">
            <w:pPr>
              <w:jc w:val="center"/>
              <w:rPr>
                <w:rFonts w:ascii="宋体" w:hAnsi="宋体"/>
                <w:color w:val="000000"/>
                <w:szCs w:val="21"/>
              </w:rPr>
            </w:pPr>
            <w:r>
              <w:rPr>
                <w:rFonts w:ascii="宋体" w:hAnsi="宋体"/>
                <w:color w:val="000000"/>
                <w:szCs w:val="21"/>
              </w:rPr>
              <w:t>英文名称</w:t>
            </w:r>
          </w:p>
        </w:tc>
        <w:tc>
          <w:tcPr>
            <w:tcW w:w="5051" w:type="dxa"/>
            <w:gridSpan w:val="3"/>
            <w:tcBorders>
              <w:top w:val="single" w:color="auto" w:sz="4" w:space="0"/>
              <w:left w:val="single" w:color="auto" w:sz="4" w:space="0"/>
              <w:bottom w:val="single" w:color="auto" w:sz="4" w:space="0"/>
            </w:tcBorders>
            <w:vAlign w:val="center"/>
          </w:tcPr>
          <w:p w14:paraId="1FD6C2E9">
            <w:pPr>
              <w:rPr>
                <w:rFonts w:ascii="宋体" w:hAnsi="宋体"/>
                <w:color w:val="000000"/>
                <w:szCs w:val="21"/>
              </w:rPr>
            </w:pPr>
            <w:r>
              <w:rPr>
                <w:rFonts w:hint="eastAsia" w:ascii="宋体" w:hAnsi="宋体"/>
                <w:color w:val="000000"/>
                <w:szCs w:val="21"/>
              </w:rPr>
              <w:t>/</w:t>
            </w:r>
          </w:p>
        </w:tc>
      </w:tr>
      <w:tr w14:paraId="0581757E">
        <w:trPr>
          <w:cantSplit/>
          <w:trHeight w:val="604" w:hRule="atLeast"/>
        </w:trPr>
        <w:tc>
          <w:tcPr>
            <w:tcW w:w="1794" w:type="dxa"/>
            <w:vMerge w:val="continue"/>
            <w:tcBorders>
              <w:right w:val="single" w:color="auto" w:sz="4" w:space="0"/>
            </w:tcBorders>
            <w:vAlign w:val="center"/>
          </w:tcPr>
          <w:p w14:paraId="07F6CE85">
            <w:pPr>
              <w:ind w:left="141" w:leftChars="67" w:right="176" w:rightChars="84"/>
              <w:jc w:val="center"/>
              <w:rPr>
                <w:rFonts w:ascii="宋体" w:hAnsi="宋体"/>
                <w:color w:val="000000"/>
                <w:szCs w:val="21"/>
              </w:rPr>
            </w:pPr>
          </w:p>
        </w:tc>
        <w:tc>
          <w:tcPr>
            <w:tcW w:w="1384" w:type="dxa"/>
            <w:vMerge w:val="continue"/>
            <w:tcBorders>
              <w:left w:val="single" w:color="auto" w:sz="4" w:space="0"/>
              <w:bottom w:val="single" w:color="auto" w:sz="4" w:space="0"/>
              <w:right w:val="single" w:color="auto" w:sz="4" w:space="0"/>
            </w:tcBorders>
            <w:vAlign w:val="center"/>
          </w:tcPr>
          <w:p w14:paraId="3D3E12BD">
            <w:pPr>
              <w:jc w:val="center"/>
              <w:rPr>
                <w:rFonts w:ascii="宋体" w:hAnsi="宋体"/>
                <w:color w:val="000000"/>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2ACB6D0A">
            <w:pPr>
              <w:jc w:val="center"/>
              <w:rPr>
                <w:rFonts w:ascii="宋体" w:hAnsi="宋体"/>
                <w:color w:val="000000"/>
                <w:szCs w:val="21"/>
              </w:rPr>
            </w:pPr>
            <w:r>
              <w:rPr>
                <w:rFonts w:ascii="宋体" w:hAnsi="宋体"/>
                <w:color w:val="000000"/>
                <w:szCs w:val="21"/>
              </w:rPr>
              <w:t>中文名称</w:t>
            </w:r>
          </w:p>
        </w:tc>
        <w:tc>
          <w:tcPr>
            <w:tcW w:w="5051" w:type="dxa"/>
            <w:gridSpan w:val="3"/>
            <w:tcBorders>
              <w:top w:val="single" w:color="auto" w:sz="4" w:space="0"/>
              <w:left w:val="single" w:color="auto" w:sz="4" w:space="0"/>
              <w:bottom w:val="single" w:color="auto" w:sz="4" w:space="0"/>
            </w:tcBorders>
            <w:vAlign w:val="center"/>
          </w:tcPr>
          <w:p w14:paraId="2714738E">
            <w:pPr>
              <w:rPr>
                <w:rFonts w:ascii="宋体" w:hAnsi="宋体"/>
                <w:color w:val="000000"/>
                <w:szCs w:val="21"/>
              </w:rPr>
            </w:pPr>
            <w:r>
              <w:rPr>
                <w:rFonts w:hint="eastAsia" w:ascii="宋体" w:hAnsi="宋体"/>
                <w:color w:val="000000"/>
                <w:szCs w:val="21"/>
              </w:rPr>
              <w:t>/</w:t>
            </w:r>
          </w:p>
        </w:tc>
      </w:tr>
      <w:tr w14:paraId="2863B99D">
        <w:trPr>
          <w:cantSplit/>
          <w:trHeight w:val="510" w:hRule="atLeast"/>
        </w:trPr>
        <w:tc>
          <w:tcPr>
            <w:tcW w:w="1794" w:type="dxa"/>
            <w:tcBorders>
              <w:right w:val="single" w:color="auto" w:sz="4" w:space="0"/>
            </w:tcBorders>
            <w:vAlign w:val="center"/>
          </w:tcPr>
          <w:p w14:paraId="0B048B5A">
            <w:pPr>
              <w:ind w:left="141" w:leftChars="67" w:right="176" w:rightChars="84"/>
              <w:rPr>
                <w:rFonts w:ascii="宋体" w:hAnsi="宋体"/>
                <w:color w:val="000000"/>
                <w:szCs w:val="21"/>
              </w:rPr>
            </w:pPr>
            <w:r>
              <w:rPr>
                <w:rFonts w:ascii="宋体" w:hAnsi="宋体"/>
                <w:color w:val="000000"/>
                <w:szCs w:val="21"/>
              </w:rPr>
              <w:t>1.3 任务来源</w:t>
            </w:r>
          </w:p>
        </w:tc>
        <w:tc>
          <w:tcPr>
            <w:tcW w:w="1384" w:type="dxa"/>
            <w:tcBorders>
              <w:left w:val="single" w:color="auto" w:sz="4" w:space="0"/>
              <w:bottom w:val="single" w:color="auto" w:sz="4" w:space="0"/>
              <w:right w:val="single" w:color="auto" w:sz="4" w:space="0"/>
            </w:tcBorders>
            <w:vAlign w:val="center"/>
          </w:tcPr>
          <w:p w14:paraId="7426DB05">
            <w:pPr>
              <w:jc w:val="center"/>
              <w:rPr>
                <w:rFonts w:ascii="宋体" w:hAnsi="宋体"/>
                <w:color w:val="000000"/>
                <w:szCs w:val="21"/>
              </w:rPr>
            </w:pPr>
            <w:r>
              <w:rPr>
                <w:rFonts w:ascii="宋体" w:hAnsi="宋体"/>
                <w:color w:val="000000"/>
                <w:szCs w:val="21"/>
              </w:rPr>
              <w:t>批准立项的文件名称和文件号</w:t>
            </w:r>
          </w:p>
        </w:tc>
        <w:tc>
          <w:tcPr>
            <w:tcW w:w="3260" w:type="dxa"/>
            <w:gridSpan w:val="2"/>
            <w:tcBorders>
              <w:left w:val="single" w:color="auto" w:sz="4" w:space="0"/>
              <w:bottom w:val="single" w:color="auto" w:sz="4" w:space="0"/>
              <w:right w:val="single" w:color="auto" w:sz="4" w:space="0"/>
            </w:tcBorders>
            <w:vAlign w:val="center"/>
          </w:tcPr>
          <w:p w14:paraId="0170ED44">
            <w:pPr>
              <w:rPr>
                <w:rFonts w:ascii="宋体" w:hAnsi="宋体"/>
                <w:color w:val="000000"/>
                <w:szCs w:val="21"/>
              </w:rPr>
            </w:pPr>
            <w:r>
              <w:rPr>
                <w:rFonts w:hint="eastAsia" w:ascii="宋体" w:hAnsi="宋体"/>
                <w:color w:val="000000"/>
                <w:szCs w:val="21"/>
              </w:rPr>
              <w:t>认监委关于下达《检验检测机构监督管理数据规范》等18项认证认可行业标准制修订计划项目的通知 国认监发〔2026〕6号</w:t>
            </w:r>
          </w:p>
        </w:tc>
        <w:tc>
          <w:tcPr>
            <w:tcW w:w="1128" w:type="dxa"/>
            <w:tcBorders>
              <w:left w:val="single" w:color="auto" w:sz="4" w:space="0"/>
              <w:bottom w:val="single" w:color="auto" w:sz="4" w:space="0"/>
              <w:right w:val="single" w:color="auto" w:sz="4" w:space="0"/>
            </w:tcBorders>
            <w:vAlign w:val="center"/>
          </w:tcPr>
          <w:p w14:paraId="6CA51AC5">
            <w:pPr>
              <w:jc w:val="center"/>
              <w:rPr>
                <w:rFonts w:ascii="宋体" w:hAnsi="宋体"/>
                <w:color w:val="000000"/>
                <w:szCs w:val="21"/>
              </w:rPr>
            </w:pPr>
            <w:r>
              <w:rPr>
                <w:rFonts w:ascii="宋体" w:hAnsi="宋体"/>
                <w:color w:val="000000"/>
                <w:szCs w:val="21"/>
              </w:rPr>
              <w:t>计划编号</w:t>
            </w:r>
          </w:p>
        </w:tc>
        <w:tc>
          <w:tcPr>
            <w:tcW w:w="1818" w:type="dxa"/>
            <w:tcBorders>
              <w:left w:val="single" w:color="auto" w:sz="4" w:space="0"/>
              <w:bottom w:val="single" w:color="auto" w:sz="4" w:space="0"/>
            </w:tcBorders>
            <w:vAlign w:val="center"/>
          </w:tcPr>
          <w:p w14:paraId="79E05627">
            <w:pPr>
              <w:jc w:val="center"/>
              <w:rPr>
                <w:rFonts w:ascii="宋体" w:hAnsi="宋体"/>
                <w:color w:val="000000"/>
                <w:szCs w:val="21"/>
              </w:rPr>
            </w:pPr>
            <w:r>
              <w:rPr>
                <w:rFonts w:hint="eastAsia" w:ascii="宋体" w:hAnsi="宋体"/>
                <w:color w:val="000000"/>
                <w:szCs w:val="21"/>
              </w:rPr>
              <w:t>2026RB00</w:t>
            </w:r>
            <w:r>
              <w:rPr>
                <w:rFonts w:ascii="宋体" w:hAnsi="宋体"/>
                <w:color w:val="000000"/>
                <w:szCs w:val="21"/>
              </w:rPr>
              <w:t>5</w:t>
            </w:r>
          </w:p>
        </w:tc>
      </w:tr>
      <w:tr w14:paraId="187E073E">
        <w:trPr>
          <w:cantSplit/>
          <w:trHeight w:val="690" w:hRule="atLeast"/>
        </w:trPr>
        <w:tc>
          <w:tcPr>
            <w:tcW w:w="1794" w:type="dxa"/>
            <w:vAlign w:val="center"/>
          </w:tcPr>
          <w:p w14:paraId="1B5EA135">
            <w:pPr>
              <w:spacing w:line="360" w:lineRule="exact"/>
              <w:ind w:left="141" w:leftChars="67" w:right="176" w:rightChars="84"/>
              <w:rPr>
                <w:rFonts w:ascii="宋体" w:hAnsi="宋体"/>
                <w:color w:val="000000"/>
                <w:szCs w:val="21"/>
              </w:rPr>
            </w:pPr>
            <w:r>
              <w:rPr>
                <w:rFonts w:hint="eastAsia" w:ascii="宋体" w:hAnsi="宋体"/>
                <w:color w:val="000000"/>
                <w:szCs w:val="21"/>
              </w:rPr>
              <w:t>1.4制（修）订</w:t>
            </w:r>
          </w:p>
        </w:tc>
        <w:tc>
          <w:tcPr>
            <w:tcW w:w="7590" w:type="dxa"/>
            <w:gridSpan w:val="5"/>
            <w:vAlign w:val="center"/>
          </w:tcPr>
          <w:p w14:paraId="76AF4E84">
            <w:pPr>
              <w:jc w:val="left"/>
              <w:rPr>
                <w:rFonts w:ascii="宋体" w:hAnsi="宋体"/>
                <w:snapToGrid w:val="0"/>
                <w:color w:val="000000"/>
                <w:kern w:val="0"/>
                <w:szCs w:val="21"/>
              </w:rPr>
            </w:pPr>
            <w:r>
              <w:rPr>
                <w:rFonts w:hint="eastAsia" w:ascii="宋体" w:hAnsi="宋体"/>
                <w:snapToGrid w:val="0"/>
                <w:color w:val="000000"/>
                <w:kern w:val="0"/>
                <w:szCs w:val="21"/>
              </w:rPr>
              <w:t>☑制定     □修订</w:t>
            </w:r>
            <w:r>
              <w:rPr>
                <w:rFonts w:hint="eastAsia" w:ascii="宋体" w:hAnsi="宋体"/>
                <w:szCs w:val="21"/>
              </w:rPr>
              <w:t>（被修订标准名称及编号：                      ）</w:t>
            </w:r>
          </w:p>
        </w:tc>
      </w:tr>
      <w:tr w14:paraId="600A0652">
        <w:trPr>
          <w:cantSplit/>
          <w:trHeight w:val="745" w:hRule="atLeast"/>
        </w:trPr>
        <w:tc>
          <w:tcPr>
            <w:tcW w:w="1794" w:type="dxa"/>
            <w:vAlign w:val="center"/>
          </w:tcPr>
          <w:p w14:paraId="559F21E2">
            <w:pPr>
              <w:ind w:left="141" w:leftChars="67" w:right="176" w:rightChars="84"/>
              <w:rPr>
                <w:rFonts w:ascii="宋体" w:hAnsi="宋体"/>
                <w:color w:val="000000"/>
                <w:szCs w:val="21"/>
              </w:rPr>
            </w:pPr>
            <w:r>
              <w:rPr>
                <w:rFonts w:ascii="宋体" w:hAnsi="宋体"/>
                <w:color w:val="000000"/>
                <w:szCs w:val="21"/>
              </w:rPr>
              <w:t>1.5 起止时间</w:t>
            </w:r>
          </w:p>
        </w:tc>
        <w:tc>
          <w:tcPr>
            <w:tcW w:w="7590" w:type="dxa"/>
            <w:gridSpan w:val="5"/>
            <w:vAlign w:val="center"/>
          </w:tcPr>
          <w:p w14:paraId="4A564F9D">
            <w:pPr>
              <w:jc w:val="center"/>
              <w:rPr>
                <w:rFonts w:ascii="宋体" w:hAnsi="宋体"/>
                <w:color w:val="000000"/>
                <w:szCs w:val="21"/>
              </w:rPr>
            </w:pPr>
            <w:r>
              <w:rPr>
                <w:rFonts w:hint="eastAsia" w:ascii="宋体" w:hAnsi="宋体"/>
                <w:color w:val="000000"/>
                <w:szCs w:val="21"/>
              </w:rPr>
              <w:t>2026</w:t>
            </w:r>
            <w:r>
              <w:rPr>
                <w:rFonts w:ascii="宋体" w:hAnsi="宋体"/>
                <w:color w:val="000000"/>
                <w:szCs w:val="21"/>
              </w:rPr>
              <w:t>年</w:t>
            </w:r>
            <w:r>
              <w:rPr>
                <w:rFonts w:hint="eastAsia" w:ascii="宋体" w:hAnsi="宋体"/>
                <w:color w:val="000000"/>
                <w:szCs w:val="21"/>
              </w:rPr>
              <w:t>8</w:t>
            </w:r>
            <w:r>
              <w:rPr>
                <w:rFonts w:ascii="宋体" w:hAnsi="宋体"/>
                <w:color w:val="000000"/>
                <w:szCs w:val="21"/>
              </w:rPr>
              <w:t>月---</w:t>
            </w:r>
            <w:r>
              <w:rPr>
                <w:rFonts w:hint="eastAsia" w:ascii="宋体" w:hAnsi="宋体"/>
                <w:color w:val="000000"/>
                <w:szCs w:val="21"/>
              </w:rPr>
              <w:t>202</w:t>
            </w:r>
            <w:r>
              <w:rPr>
                <w:rFonts w:ascii="宋体" w:hAnsi="宋体"/>
                <w:color w:val="000000"/>
                <w:szCs w:val="21"/>
              </w:rPr>
              <w:t>7年6月</w:t>
            </w:r>
          </w:p>
        </w:tc>
      </w:tr>
      <w:tr w14:paraId="34B46DC7">
        <w:trPr>
          <w:cantSplit/>
          <w:trHeight w:val="1946" w:hRule="atLeast"/>
        </w:trPr>
        <w:tc>
          <w:tcPr>
            <w:tcW w:w="1794" w:type="dxa"/>
            <w:vAlign w:val="center"/>
          </w:tcPr>
          <w:p w14:paraId="5C6C3B80">
            <w:pPr>
              <w:ind w:left="141" w:leftChars="67" w:right="176" w:rightChars="84"/>
              <w:rPr>
                <w:rFonts w:ascii="宋体" w:hAnsi="宋体"/>
                <w:color w:val="000000"/>
                <w:szCs w:val="21"/>
              </w:rPr>
            </w:pPr>
            <w:r>
              <w:rPr>
                <w:rFonts w:ascii="宋体" w:hAnsi="宋体"/>
                <w:color w:val="000000"/>
                <w:szCs w:val="21"/>
              </w:rPr>
              <w:t xml:space="preserve">1.6 </w:t>
            </w:r>
            <w:r>
              <w:rPr>
                <w:rFonts w:hint="eastAsia" w:ascii="宋体" w:hAnsi="宋体"/>
                <w:color w:val="000000"/>
                <w:szCs w:val="21"/>
              </w:rPr>
              <w:t>标准起草</w:t>
            </w:r>
            <w:r>
              <w:rPr>
                <w:rFonts w:ascii="宋体" w:hAnsi="宋体"/>
                <w:color w:val="000000"/>
                <w:szCs w:val="21"/>
              </w:rPr>
              <w:t>单位</w:t>
            </w:r>
          </w:p>
        </w:tc>
        <w:tc>
          <w:tcPr>
            <w:tcW w:w="7590" w:type="dxa"/>
            <w:gridSpan w:val="5"/>
            <w:vAlign w:val="center"/>
          </w:tcPr>
          <w:p w14:paraId="2FD193B1">
            <w:pPr>
              <w:rPr>
                <w:rFonts w:ascii="宋体" w:hAnsi="宋体"/>
                <w:color w:val="000000"/>
                <w:szCs w:val="21"/>
              </w:rPr>
            </w:pPr>
            <w:r>
              <w:rPr>
                <w:rFonts w:hint="eastAsia" w:ascii="宋体" w:hAnsi="宋体"/>
                <w:color w:val="000000"/>
                <w:szCs w:val="21"/>
              </w:rPr>
              <w:t>中国网络安全审查认证和市场监管大数据中心、成都市标准化研究院（成都市WTO/TBT咨询中心、成都市市场监督管理数据应用中心）、四川省市场监督管理局数据应用中心、成都市特种设备检验检测研究院（成都市特种设备应急处置中心）、广西壮族自治区特种设备检验研究院、北京三维天地科技股份有限公司</w:t>
            </w:r>
          </w:p>
        </w:tc>
      </w:tr>
      <w:tr w14:paraId="5A1E7452">
        <w:trPr>
          <w:cantSplit/>
          <w:trHeight w:val="1306" w:hRule="atLeast"/>
        </w:trPr>
        <w:tc>
          <w:tcPr>
            <w:tcW w:w="1794" w:type="dxa"/>
            <w:vAlign w:val="center"/>
          </w:tcPr>
          <w:p w14:paraId="22448521">
            <w:pPr>
              <w:ind w:left="141" w:leftChars="67" w:right="176" w:rightChars="84"/>
              <w:rPr>
                <w:rFonts w:ascii="宋体" w:hAnsi="宋体"/>
                <w:color w:val="000000"/>
                <w:szCs w:val="21"/>
              </w:rPr>
            </w:pPr>
            <w:r>
              <w:rPr>
                <w:rFonts w:ascii="宋体" w:hAnsi="宋体"/>
                <w:color w:val="000000"/>
                <w:szCs w:val="21"/>
              </w:rPr>
              <w:t>1.7 起草</w:t>
            </w:r>
            <w:r>
              <w:rPr>
                <w:rFonts w:hint="eastAsia" w:ascii="宋体" w:hAnsi="宋体"/>
                <w:color w:val="000000"/>
                <w:szCs w:val="21"/>
              </w:rPr>
              <w:t>组成员</w:t>
            </w:r>
          </w:p>
        </w:tc>
        <w:tc>
          <w:tcPr>
            <w:tcW w:w="7590" w:type="dxa"/>
            <w:gridSpan w:val="5"/>
            <w:vAlign w:val="center"/>
          </w:tcPr>
          <w:p w14:paraId="1F0A96B3">
            <w:pPr>
              <w:rPr>
                <w:rFonts w:ascii="宋体" w:hAnsi="宋体"/>
                <w:color w:val="000000"/>
                <w:szCs w:val="21"/>
              </w:rPr>
            </w:pPr>
            <w:bookmarkStart w:id="0" w:name="OLE_LINK21"/>
            <w:bookmarkStart w:id="1" w:name="OLE_LINK20"/>
            <w:bookmarkStart w:id="2" w:name="OLE_LINK71"/>
            <w:bookmarkStart w:id="3" w:name="OLE_LINK70"/>
            <w:r>
              <w:rPr>
                <w:rFonts w:hint="eastAsia" w:ascii="宋体" w:hAnsi="宋体"/>
                <w:color w:val="000000"/>
                <w:szCs w:val="21"/>
              </w:rPr>
              <w:t>王凤娇、郑拓伟、刘莎、张甜、乔妍艳、杨帅、刘森、白玲玉、</w:t>
            </w:r>
            <w:r>
              <w:rPr>
                <w:rFonts w:hint="eastAsia" w:ascii="宋体" w:hAnsi="宋体" w:cs="宋体"/>
                <w:w w:val="110"/>
                <w:szCs w:val="21"/>
              </w:rPr>
              <w:t>张越宏</w:t>
            </w:r>
            <w:r>
              <w:rPr>
                <w:rFonts w:hint="eastAsia" w:ascii="宋体" w:hAnsi="宋体"/>
                <w:color w:val="000000"/>
                <w:szCs w:val="21"/>
              </w:rPr>
              <w:t>、贺春艳、贺鹏艳、吴长征</w:t>
            </w:r>
            <w:bookmarkEnd w:id="0"/>
            <w:bookmarkEnd w:id="1"/>
            <w:bookmarkStart w:id="4" w:name="OLE_LINK59"/>
            <w:bookmarkStart w:id="5" w:name="OLE_LINK60"/>
            <w:r>
              <w:rPr>
                <w:rFonts w:hint="eastAsia" w:ascii="宋体" w:hAnsi="宋体"/>
                <w:color w:val="000000"/>
                <w:szCs w:val="21"/>
              </w:rPr>
              <w:t>、</w:t>
            </w:r>
            <w:bookmarkEnd w:id="4"/>
            <w:bookmarkEnd w:id="5"/>
            <w:bookmarkStart w:id="6" w:name="OLE_LINK69"/>
            <w:bookmarkStart w:id="7" w:name="OLE_LINK68"/>
            <w:r>
              <w:rPr>
                <w:rFonts w:hint="eastAsia" w:ascii="宋体" w:hAnsi="宋体"/>
                <w:color w:val="000000"/>
                <w:szCs w:val="21"/>
              </w:rPr>
              <w:t>陈娜娜、</w:t>
            </w:r>
            <w:r>
              <w:rPr>
                <w:rFonts w:hint="eastAsia"/>
                <w:w w:val="110"/>
                <w:szCs w:val="21"/>
              </w:rPr>
              <w:t>李文鹏</w:t>
            </w:r>
            <w:r>
              <w:rPr>
                <w:rFonts w:hint="eastAsia" w:ascii="宋体" w:hAnsi="宋体"/>
                <w:color w:val="000000"/>
                <w:szCs w:val="21"/>
              </w:rPr>
              <w:t>、许志伟</w:t>
            </w:r>
            <w:bookmarkEnd w:id="2"/>
            <w:bookmarkEnd w:id="3"/>
            <w:bookmarkEnd w:id="6"/>
            <w:bookmarkEnd w:id="7"/>
          </w:p>
        </w:tc>
      </w:tr>
      <w:tr w14:paraId="58003FED">
        <w:trPr>
          <w:cantSplit/>
          <w:trHeight w:val="1379" w:hRule="exact"/>
        </w:trPr>
        <w:tc>
          <w:tcPr>
            <w:tcW w:w="1794" w:type="dxa"/>
            <w:tcBorders>
              <w:bottom w:val="single" w:color="auto" w:sz="4" w:space="0"/>
            </w:tcBorders>
            <w:vAlign w:val="center"/>
          </w:tcPr>
          <w:p w14:paraId="2DB3955A">
            <w:pPr>
              <w:ind w:left="141" w:leftChars="67" w:right="176" w:rightChars="84"/>
              <w:rPr>
                <w:rFonts w:ascii="宋体" w:hAnsi="宋体"/>
                <w:color w:val="000000"/>
                <w:szCs w:val="21"/>
              </w:rPr>
            </w:pPr>
            <w:r>
              <w:rPr>
                <w:rFonts w:ascii="宋体" w:hAnsi="宋体"/>
                <w:color w:val="000000"/>
                <w:szCs w:val="21"/>
              </w:rPr>
              <w:t>1.</w:t>
            </w:r>
            <w:r>
              <w:rPr>
                <w:rFonts w:hint="eastAsia" w:ascii="宋体" w:hAnsi="宋体"/>
                <w:color w:val="000000"/>
                <w:szCs w:val="21"/>
              </w:rPr>
              <w:t>8标准体系表内编号</w:t>
            </w:r>
          </w:p>
        </w:tc>
        <w:tc>
          <w:tcPr>
            <w:tcW w:w="7590" w:type="dxa"/>
            <w:gridSpan w:val="5"/>
            <w:tcBorders>
              <w:bottom w:val="single" w:color="auto" w:sz="4" w:space="0"/>
            </w:tcBorders>
            <w:vAlign w:val="center"/>
          </w:tcPr>
          <w:p w14:paraId="078D33F0">
            <w:pPr>
              <w:rPr>
                <w:rFonts w:ascii="宋体" w:hAnsi="宋体"/>
                <w:color w:val="000000"/>
                <w:szCs w:val="21"/>
              </w:rPr>
            </w:pPr>
            <w:r>
              <w:rPr>
                <w:rFonts w:hint="eastAsia" w:ascii="宋体" w:hAnsi="宋体"/>
                <w:color w:val="000000"/>
                <w:szCs w:val="21"/>
              </w:rPr>
              <w:t>无</w:t>
            </w:r>
          </w:p>
        </w:tc>
      </w:tr>
      <w:tr w14:paraId="13CB2089">
        <w:trPr>
          <w:cantSplit/>
          <w:trHeight w:val="1570" w:hRule="exact"/>
        </w:trPr>
        <w:tc>
          <w:tcPr>
            <w:tcW w:w="1794" w:type="dxa"/>
            <w:tcBorders>
              <w:top w:val="single" w:color="auto" w:sz="4" w:space="0"/>
              <w:left w:val="single" w:color="auto" w:sz="4" w:space="0"/>
              <w:bottom w:val="single" w:color="auto" w:sz="4" w:space="0"/>
              <w:right w:val="single" w:color="auto" w:sz="4" w:space="0"/>
            </w:tcBorders>
            <w:vAlign w:val="center"/>
          </w:tcPr>
          <w:p w14:paraId="18EF597C">
            <w:pPr>
              <w:ind w:left="141" w:leftChars="67" w:right="176" w:rightChars="84"/>
              <w:rPr>
                <w:rFonts w:ascii="宋体" w:hAnsi="宋体"/>
                <w:color w:val="000000"/>
                <w:szCs w:val="21"/>
              </w:rPr>
            </w:pPr>
            <w:r>
              <w:rPr>
                <w:rFonts w:ascii="宋体" w:hAnsi="宋体"/>
                <w:color w:val="000000"/>
                <w:szCs w:val="21"/>
              </w:rPr>
              <w:t>1.</w:t>
            </w:r>
            <w:r>
              <w:rPr>
                <w:rFonts w:hint="eastAsia" w:ascii="宋体" w:hAnsi="宋体"/>
                <w:color w:val="000000"/>
                <w:szCs w:val="21"/>
              </w:rPr>
              <w:t>9</w:t>
            </w:r>
            <w:r>
              <w:rPr>
                <w:rFonts w:ascii="宋体" w:hAnsi="宋体"/>
                <w:color w:val="000000"/>
                <w:szCs w:val="21"/>
              </w:rPr>
              <w:t>调整情况</w:t>
            </w:r>
          </w:p>
        </w:tc>
        <w:tc>
          <w:tcPr>
            <w:tcW w:w="7590" w:type="dxa"/>
            <w:gridSpan w:val="5"/>
            <w:tcBorders>
              <w:top w:val="single" w:color="auto" w:sz="4" w:space="0"/>
              <w:left w:val="single" w:color="auto" w:sz="4" w:space="0"/>
              <w:bottom w:val="single" w:color="auto" w:sz="4" w:space="0"/>
              <w:right w:val="single" w:color="auto" w:sz="4" w:space="0"/>
            </w:tcBorders>
            <w:vAlign w:val="center"/>
          </w:tcPr>
          <w:p w14:paraId="3F217477">
            <w:pPr>
              <w:rPr>
                <w:rFonts w:ascii="宋体" w:hAnsi="宋体"/>
                <w:color w:val="000000"/>
                <w:szCs w:val="21"/>
              </w:rPr>
            </w:pPr>
            <w:r>
              <w:rPr>
                <w:rFonts w:hint="eastAsia" w:ascii="宋体" w:hAnsi="宋体"/>
                <w:color w:val="000000"/>
                <w:szCs w:val="21"/>
              </w:rPr>
              <w:t>无</w:t>
            </w:r>
          </w:p>
        </w:tc>
      </w:tr>
    </w:tbl>
    <w:p w14:paraId="79D920BD">
      <w:pPr>
        <w:rPr>
          <w:rFonts w:eastAsia="仿宋_GB2312"/>
          <w:b/>
          <w:color w:val="000000"/>
          <w:kern w:val="0"/>
          <w:sz w:val="32"/>
        </w:rPr>
      </w:pPr>
    </w:p>
    <w:tbl>
      <w:tblPr>
        <w:tblStyle w:val="38"/>
        <w:tblpPr w:leftFromText="180" w:rightFromText="180" w:vertAnchor="text" w:horzAnchor="margin" w:tblpXSpec="center" w:tblpY="169"/>
        <w:tblW w:w="9384"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794"/>
        <w:gridCol w:w="7590"/>
      </w:tblGrid>
      <w:tr w14:paraId="6821F0C7">
        <w:trPr>
          <w:cantSplit/>
          <w:trHeight w:val="485" w:hRule="exact"/>
        </w:trPr>
        <w:tc>
          <w:tcPr>
            <w:tcW w:w="9384" w:type="dxa"/>
            <w:gridSpan w:val="2"/>
            <w:tcBorders>
              <w:top w:val="nil"/>
              <w:left w:val="nil"/>
              <w:bottom w:val="nil"/>
              <w:right w:val="nil"/>
            </w:tcBorders>
            <w:vAlign w:val="center"/>
          </w:tcPr>
          <w:p w14:paraId="43CE5109">
            <w:pPr>
              <w:rPr>
                <w:rFonts w:ascii="宋体" w:hAnsi="宋体"/>
                <w:b/>
                <w:color w:val="000000"/>
                <w:szCs w:val="21"/>
              </w:rPr>
            </w:pPr>
            <w:r>
              <w:rPr>
                <w:rFonts w:hint="eastAsia" w:ascii="宋体" w:hAnsi="宋体"/>
                <w:b/>
                <w:color w:val="000000"/>
                <w:szCs w:val="21"/>
              </w:rPr>
              <w:t>2、背景情况</w:t>
            </w:r>
          </w:p>
        </w:tc>
      </w:tr>
      <w:tr w14:paraId="4EC64570">
        <w:trPr>
          <w:cantSplit/>
          <w:trHeight w:val="6437" w:hRule="atLeast"/>
        </w:trPr>
        <w:tc>
          <w:tcPr>
            <w:tcW w:w="1794" w:type="dxa"/>
            <w:tcBorders>
              <w:top w:val="single" w:color="auto" w:sz="4" w:space="0"/>
              <w:left w:val="single" w:color="auto" w:sz="4" w:space="0"/>
              <w:right w:val="single" w:color="auto" w:sz="4" w:space="0"/>
            </w:tcBorders>
            <w:vAlign w:val="center"/>
          </w:tcPr>
          <w:p w14:paraId="526F3426">
            <w:pPr>
              <w:ind w:left="141" w:leftChars="67" w:right="36" w:rightChars="17"/>
              <w:rPr>
                <w:rFonts w:ascii="宋体" w:hAnsi="宋体"/>
                <w:color w:val="000000"/>
                <w:szCs w:val="21"/>
              </w:rPr>
            </w:pPr>
            <w:r>
              <w:rPr>
                <w:rFonts w:ascii="宋体" w:hAnsi="宋体"/>
                <w:color w:val="000000"/>
                <w:szCs w:val="21"/>
              </w:rPr>
              <w:t>2.1 目的、意义</w:t>
            </w:r>
          </w:p>
          <w:p w14:paraId="515492CD">
            <w:pPr>
              <w:ind w:left="141" w:leftChars="67" w:right="36" w:rightChars="17"/>
              <w:rPr>
                <w:rFonts w:ascii="宋体" w:hAnsi="宋体"/>
                <w:color w:val="000000"/>
                <w:szCs w:val="21"/>
              </w:rPr>
            </w:pPr>
            <w:r>
              <w:rPr>
                <w:rFonts w:hint="eastAsia" w:ascii="宋体" w:hAnsi="宋体"/>
                <w:color w:val="000000"/>
                <w:szCs w:val="21"/>
              </w:rPr>
              <w:t>（工作开展背景及要求）</w:t>
            </w:r>
          </w:p>
        </w:tc>
        <w:tc>
          <w:tcPr>
            <w:tcW w:w="7590" w:type="dxa"/>
            <w:tcBorders>
              <w:top w:val="single" w:color="auto" w:sz="4" w:space="0"/>
              <w:left w:val="single" w:color="auto" w:sz="4" w:space="0"/>
              <w:right w:val="single" w:color="auto" w:sz="4" w:space="0"/>
            </w:tcBorders>
            <w:vAlign w:val="center"/>
          </w:tcPr>
          <w:p w14:paraId="093B958D">
            <w:pPr>
              <w:ind w:firstLine="420" w:firstLineChars="200"/>
              <w:rPr>
                <w:rFonts w:ascii="宋体" w:hAnsi="宋体"/>
                <w:color w:val="000000"/>
                <w:szCs w:val="21"/>
              </w:rPr>
            </w:pPr>
            <w:r>
              <w:rPr>
                <w:rFonts w:hint="eastAsia" w:ascii="宋体" w:hAnsi="宋体"/>
                <w:color w:val="000000"/>
                <w:szCs w:val="21"/>
              </w:rPr>
              <w:t>《质量强国建设纲要》的“主要目标”和“重点任务”中多次强调要推动质量治理的数字化转型，明确提出要“推进质量治理数字化”，利用新技术提升质量监管的精准性和有效性。纲要要求建立“全主体、全品种、全链条”的监管机制，并强化“追溯体系建设”。检验检测数据是产品质量追溯链条中的关键一环，只有实现了检验检测数据的规范化和共享化，才能真正打通从生产到消费的全链条信息流，落实《纲要》提出的严格监管和溯源要求。</w:t>
            </w:r>
          </w:p>
          <w:p w14:paraId="18BCC2D1">
            <w:pPr>
              <w:ind w:firstLine="420" w:firstLineChars="200"/>
              <w:rPr>
                <w:rFonts w:ascii="宋体" w:hAnsi="宋体"/>
                <w:color w:val="000000"/>
                <w:szCs w:val="21"/>
              </w:rPr>
            </w:pPr>
            <w:r>
              <w:rPr>
                <w:rFonts w:hint="eastAsia" w:ascii="宋体" w:hAnsi="宋体"/>
                <w:color w:val="000000"/>
                <w:szCs w:val="21"/>
              </w:rPr>
              <w:t>《检验检测智慧监管能力提升攻坚行动方案》为该标准提供了最直接的行动指南。该方案明确提出到2027年基本建成全国统一的智慧监管平台，并要求全面实现数据集成共享与业务协同。在此背景下，《检验检测机构数据共享规范》作为关键的基础性技术标准，不仅是实现“上下贯通、左右联通”监管格局的必要条件，也是构建检验检测信用体系、实施联合惩戒以及保障数据真实性与可追溯性的核心制度保障。</w:t>
            </w:r>
          </w:p>
          <w:p w14:paraId="796F15DA">
            <w:pPr>
              <w:ind w:firstLine="420" w:firstLineChars="200"/>
              <w:rPr>
                <w:rFonts w:ascii="宋体" w:hAnsi="宋体"/>
                <w:color w:val="000000"/>
                <w:szCs w:val="21"/>
              </w:rPr>
            </w:pPr>
            <w:r>
              <w:rPr>
                <w:rFonts w:hint="eastAsia" w:ascii="宋体" w:hAnsi="宋体"/>
                <w:color w:val="000000"/>
                <w:szCs w:val="21"/>
              </w:rPr>
              <w:t>制定《检验检测机构数据共享规范》行业标准，旨在统一检验检测监管数据共享的基本原则、总体框架、交换方式、共享流程、数据质量与安全要求，明确数据提供方、需求方及市场监管数据平台的权责边界，规范接口传输、文件交换、库表交换等共享模式，解决当前数据标准不统一、系统不互通、共享不规范、安全不可控等突出问题，为检验检测机构、市场监管部门及政务相关单位之间开展数据共享交换提供统一、可落地的技术依据。</w:t>
            </w:r>
          </w:p>
          <w:p w14:paraId="3C95ADD1">
            <w:pPr>
              <w:ind w:firstLine="420" w:firstLineChars="200"/>
              <w:rPr>
                <w:rFonts w:ascii="宋体" w:hAnsi="宋体"/>
                <w:color w:val="000000"/>
                <w:szCs w:val="21"/>
              </w:rPr>
            </w:pPr>
            <w:r>
              <w:rPr>
                <w:rFonts w:hint="eastAsia" w:ascii="宋体" w:hAnsi="宋体"/>
                <w:color w:val="000000"/>
                <w:szCs w:val="21"/>
              </w:rPr>
              <w:t>该标准有利于构建权责清晰、安全可控、标准统一、高效协同的数据共享体系，支撑跨部门、跨层级、跨区域检验检测监管数据互联互通与业务协同，提升数据共享的规范性、时效性与可追溯性，强化数据全生命周期安全保障，推动检验检测机构监督管理向数字化、精准化、智能化转型，提升监管效能与行业治理水平，服务质量强国建设与全国统一大市场发展。</w:t>
            </w:r>
          </w:p>
        </w:tc>
      </w:tr>
      <w:tr w14:paraId="5ABD330E">
        <w:trPr>
          <w:cantSplit/>
          <w:trHeight w:val="5612" w:hRule="exact"/>
        </w:trPr>
        <w:tc>
          <w:tcPr>
            <w:tcW w:w="1794" w:type="dxa"/>
            <w:tcBorders>
              <w:top w:val="single" w:color="auto" w:sz="4" w:space="0"/>
              <w:left w:val="single" w:color="auto" w:sz="4" w:space="0"/>
              <w:bottom w:val="single" w:color="auto" w:sz="4" w:space="0"/>
              <w:right w:val="single" w:color="auto" w:sz="4" w:space="0"/>
            </w:tcBorders>
            <w:vAlign w:val="center"/>
          </w:tcPr>
          <w:p w14:paraId="409A810E">
            <w:pPr>
              <w:ind w:left="141" w:leftChars="67" w:right="36" w:rightChars="17"/>
              <w:rPr>
                <w:rFonts w:ascii="宋体" w:hAnsi="宋体"/>
                <w:color w:val="000000"/>
                <w:szCs w:val="21"/>
              </w:rPr>
            </w:pPr>
            <w:r>
              <w:rPr>
                <w:rFonts w:ascii="宋体" w:hAnsi="宋体"/>
                <w:color w:val="000000"/>
                <w:szCs w:val="21"/>
              </w:rPr>
              <w:t>2.2 与国内外相关标准、文献的关系</w:t>
            </w:r>
          </w:p>
        </w:tc>
        <w:tc>
          <w:tcPr>
            <w:tcW w:w="7590" w:type="dxa"/>
            <w:tcBorders>
              <w:top w:val="single" w:color="auto" w:sz="4" w:space="0"/>
              <w:left w:val="single" w:color="auto" w:sz="4" w:space="0"/>
              <w:bottom w:val="single" w:color="auto" w:sz="4" w:space="0"/>
              <w:right w:val="single" w:color="auto" w:sz="4" w:space="0"/>
            </w:tcBorders>
            <w:vAlign w:val="center"/>
          </w:tcPr>
          <w:p w14:paraId="005E124E">
            <w:pPr>
              <w:ind w:firstLine="420" w:firstLineChars="200"/>
              <w:rPr>
                <w:rFonts w:ascii="宋体" w:hAnsi="宋体"/>
                <w:color w:val="000000"/>
                <w:szCs w:val="21"/>
              </w:rPr>
            </w:pPr>
            <w:r>
              <w:rPr>
                <w:rFonts w:hint="eastAsia" w:ascii="宋体" w:hAnsi="宋体"/>
                <w:color w:val="000000"/>
                <w:szCs w:val="21"/>
              </w:rPr>
              <w:t>在检验检测机构领域暂无数据管理标准，目前检验检测机构领域发布的国家标准有GB/T</w:t>
            </w:r>
            <w:r>
              <w:rPr>
                <w:rFonts w:ascii="宋体" w:hAnsi="宋体"/>
                <w:color w:val="000000"/>
                <w:szCs w:val="21"/>
              </w:rPr>
              <w:t xml:space="preserve"> </w:t>
            </w:r>
            <w:r>
              <w:rPr>
                <w:rFonts w:hint="eastAsia" w:ascii="宋体" w:hAnsi="宋体"/>
                <w:color w:val="000000"/>
                <w:szCs w:val="21"/>
              </w:rPr>
              <w:t>40149-2021《检验检测机构从业人员信用档案建设规范》、GB/T 39663-2021《检验检测机构诚信报告编制规范》、GB/T</w:t>
            </w:r>
            <w:r>
              <w:rPr>
                <w:rFonts w:ascii="宋体" w:hAnsi="宋体"/>
                <w:color w:val="000000"/>
                <w:szCs w:val="21"/>
              </w:rPr>
              <w:t xml:space="preserve"> </w:t>
            </w:r>
            <w:r>
              <w:rPr>
                <w:rFonts w:hint="eastAsia" w:ascii="宋体" w:hAnsi="宋体"/>
                <w:color w:val="000000"/>
                <w:szCs w:val="21"/>
              </w:rPr>
              <w:t>31880-2015《检验检测机构诚信基本要求》。</w:t>
            </w:r>
          </w:p>
          <w:p w14:paraId="4B9106BD">
            <w:pPr>
              <w:ind w:firstLine="420" w:firstLineChars="200"/>
              <w:rPr>
                <w:rFonts w:ascii="宋体" w:hAnsi="宋体"/>
                <w:color w:val="000000"/>
                <w:szCs w:val="21"/>
              </w:rPr>
            </w:pPr>
            <w:r>
              <w:rPr>
                <w:rFonts w:hint="eastAsia" w:ascii="宋体" w:hAnsi="宋体"/>
                <w:color w:val="000000"/>
                <w:szCs w:val="21"/>
              </w:rPr>
              <w:t>在数据安全方面发布的国家标准有GB/T</w:t>
            </w:r>
            <w:r>
              <w:rPr>
                <w:rFonts w:ascii="宋体" w:hAnsi="宋体"/>
                <w:color w:val="000000"/>
                <w:szCs w:val="21"/>
              </w:rPr>
              <w:t xml:space="preserve"> </w:t>
            </w:r>
            <w:r>
              <w:rPr>
                <w:rFonts w:hint="eastAsia" w:ascii="宋体" w:hAnsi="宋体"/>
                <w:color w:val="000000"/>
                <w:szCs w:val="21"/>
              </w:rPr>
              <w:t>22239《信息安全技术 网络安全等级保护基本要求》、GB/T</w:t>
            </w:r>
            <w:r>
              <w:rPr>
                <w:rFonts w:ascii="宋体" w:hAnsi="宋体"/>
                <w:color w:val="000000"/>
                <w:szCs w:val="21"/>
              </w:rPr>
              <w:t xml:space="preserve"> </w:t>
            </w:r>
            <w:r>
              <w:rPr>
                <w:rFonts w:hint="eastAsia" w:ascii="宋体" w:hAnsi="宋体"/>
                <w:color w:val="000000"/>
                <w:szCs w:val="21"/>
              </w:rPr>
              <w:t>34960.5《信息技术服务 治理 第5部分：数据治理规范》、GB/T</w:t>
            </w:r>
            <w:r>
              <w:rPr>
                <w:rFonts w:ascii="宋体" w:hAnsi="宋体"/>
                <w:color w:val="000000"/>
                <w:szCs w:val="21"/>
              </w:rPr>
              <w:t xml:space="preserve"> </w:t>
            </w:r>
            <w:r>
              <w:rPr>
                <w:rFonts w:hint="eastAsia" w:ascii="宋体" w:hAnsi="宋体"/>
                <w:color w:val="000000"/>
                <w:szCs w:val="21"/>
              </w:rPr>
              <w:t>35273 《信息安全技术 个人信息安全规范》、GB/T 35295 《信息技术 大数据 术语》、GB/T</w:t>
            </w:r>
            <w:r>
              <w:rPr>
                <w:rFonts w:ascii="宋体" w:hAnsi="宋体"/>
                <w:color w:val="000000"/>
                <w:szCs w:val="21"/>
              </w:rPr>
              <w:t xml:space="preserve"> </w:t>
            </w:r>
            <w:r>
              <w:rPr>
                <w:rFonts w:hint="eastAsia" w:ascii="宋体" w:hAnsi="宋体"/>
                <w:color w:val="000000"/>
                <w:szCs w:val="21"/>
              </w:rPr>
              <w:t>37973《信息安全技术 大数据安全管理指南》、GB/T</w:t>
            </w:r>
            <w:r>
              <w:rPr>
                <w:rFonts w:ascii="宋体" w:hAnsi="宋体"/>
                <w:color w:val="000000"/>
                <w:szCs w:val="21"/>
              </w:rPr>
              <w:t xml:space="preserve"> </w:t>
            </w:r>
            <w:r>
              <w:rPr>
                <w:rFonts w:hint="eastAsia" w:ascii="宋体" w:hAnsi="宋体"/>
                <w:color w:val="000000"/>
                <w:szCs w:val="21"/>
              </w:rPr>
              <w:t>41479《信息安全技术 数据处理安全要求》等。</w:t>
            </w:r>
          </w:p>
        </w:tc>
      </w:tr>
    </w:tbl>
    <w:p w14:paraId="652D510C">
      <w:pPr>
        <w:rPr>
          <w:rFonts w:eastAsia="仿宋_GB2312"/>
          <w:b/>
          <w:color w:val="000000"/>
          <w:kern w:val="0"/>
          <w:sz w:val="32"/>
        </w:rPr>
      </w:pPr>
    </w:p>
    <w:tbl>
      <w:tblPr>
        <w:tblStyle w:val="38"/>
        <w:tblpPr w:leftFromText="180" w:rightFromText="180" w:vertAnchor="text" w:horzAnchor="margin" w:tblpXSpec="center" w:tblpY="169"/>
        <w:tblW w:w="942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970"/>
        <w:gridCol w:w="7458"/>
      </w:tblGrid>
      <w:tr w14:paraId="5A359E72">
        <w:trPr>
          <w:cantSplit/>
          <w:trHeight w:val="302" w:hRule="exact"/>
        </w:trPr>
        <w:tc>
          <w:tcPr>
            <w:tcW w:w="9428" w:type="dxa"/>
            <w:gridSpan w:val="2"/>
            <w:tcBorders>
              <w:top w:val="nil"/>
              <w:left w:val="nil"/>
              <w:bottom w:val="nil"/>
              <w:right w:val="nil"/>
            </w:tcBorders>
            <w:vAlign w:val="center"/>
          </w:tcPr>
          <w:p w14:paraId="5E8CF884">
            <w:pPr>
              <w:rPr>
                <w:rFonts w:ascii="宋体" w:hAnsi="宋体"/>
                <w:b/>
                <w:color w:val="000000"/>
                <w:szCs w:val="21"/>
              </w:rPr>
            </w:pPr>
            <w:r>
              <w:rPr>
                <w:rFonts w:hint="eastAsia" w:ascii="宋体" w:hAnsi="宋体"/>
                <w:b/>
                <w:color w:val="000000"/>
                <w:szCs w:val="21"/>
              </w:rPr>
              <w:t>3  编制过程</w:t>
            </w:r>
          </w:p>
        </w:tc>
      </w:tr>
      <w:tr w14:paraId="0375C6CC">
        <w:trPr>
          <w:cantSplit/>
          <w:trHeight w:val="1551" w:hRule="atLeast"/>
        </w:trPr>
        <w:tc>
          <w:tcPr>
            <w:tcW w:w="1970" w:type="dxa"/>
            <w:tcBorders>
              <w:top w:val="single" w:color="auto" w:sz="4" w:space="0"/>
              <w:bottom w:val="single" w:color="auto" w:sz="4" w:space="0"/>
            </w:tcBorders>
            <w:vAlign w:val="center"/>
          </w:tcPr>
          <w:p w14:paraId="1944FB0A">
            <w:pPr>
              <w:ind w:left="141" w:leftChars="67" w:right="176" w:rightChars="84"/>
              <w:rPr>
                <w:rFonts w:ascii="宋体" w:hAnsi="宋体"/>
                <w:color w:val="000000"/>
                <w:szCs w:val="21"/>
              </w:rPr>
            </w:pPr>
            <w:r>
              <w:rPr>
                <w:rFonts w:ascii="宋体" w:hAnsi="宋体"/>
                <w:color w:val="000000"/>
                <w:szCs w:val="21"/>
              </w:rPr>
              <w:t>3.</w:t>
            </w:r>
            <w:r>
              <w:rPr>
                <w:rFonts w:hint="eastAsia" w:ascii="宋体" w:hAnsi="宋体"/>
                <w:color w:val="000000"/>
                <w:szCs w:val="21"/>
              </w:rPr>
              <w:t>1</w:t>
            </w:r>
            <w:r>
              <w:rPr>
                <w:rFonts w:ascii="宋体" w:hAnsi="宋体"/>
                <w:color w:val="000000"/>
                <w:szCs w:val="21"/>
              </w:rPr>
              <w:t xml:space="preserve"> 分工情况</w:t>
            </w:r>
          </w:p>
        </w:tc>
        <w:tc>
          <w:tcPr>
            <w:tcW w:w="7458" w:type="dxa"/>
            <w:tcBorders>
              <w:bottom w:val="single" w:color="auto" w:sz="4" w:space="0"/>
            </w:tcBorders>
            <w:vAlign w:val="center"/>
          </w:tcPr>
          <w:p w14:paraId="661C1548">
            <w:pPr>
              <w:rPr>
                <w:rFonts w:ascii="宋体" w:hAnsi="宋体"/>
                <w:color w:val="000000"/>
                <w:szCs w:val="21"/>
              </w:rPr>
            </w:pPr>
            <w:r>
              <w:rPr>
                <w:rFonts w:hint="eastAsia" w:ascii="宋体" w:hAnsi="宋体"/>
                <w:color w:val="000000"/>
                <w:szCs w:val="21"/>
              </w:rPr>
              <w:t>标准的整体架构由起草小组共同确定；</w:t>
            </w:r>
          </w:p>
          <w:p w14:paraId="2E165306">
            <w:pPr>
              <w:rPr>
                <w:rFonts w:ascii="宋体" w:hAnsi="宋体"/>
                <w:color w:val="000000"/>
                <w:szCs w:val="21"/>
              </w:rPr>
            </w:pPr>
            <w:r>
              <w:rPr>
                <w:rFonts w:hint="eastAsia" w:ascii="宋体" w:hAnsi="宋体"/>
                <w:color w:val="000000"/>
                <w:szCs w:val="21"/>
              </w:rPr>
              <w:t>王凤娇协调整体工作与标准核心章节的编制工作；郑拓伟、张甜、</w:t>
            </w:r>
            <w:r>
              <w:rPr>
                <w:rFonts w:hint="eastAsia" w:ascii="宋体" w:hAnsi="宋体" w:cs="宋体"/>
                <w:w w:val="110"/>
                <w:szCs w:val="21"/>
              </w:rPr>
              <w:t>张越宏</w:t>
            </w:r>
            <w:r>
              <w:rPr>
                <w:rFonts w:hint="eastAsia" w:ascii="宋体" w:hAnsi="宋体"/>
                <w:color w:val="000000"/>
                <w:szCs w:val="21"/>
              </w:rPr>
              <w:t>负责政策、相关法律法规的收集和标准第1章-第4章的起草工作；刘莎、乔妍艳、白玲玉、</w:t>
            </w:r>
            <w:r>
              <w:rPr>
                <w:rFonts w:hint="eastAsia"/>
                <w:w w:val="110"/>
                <w:szCs w:val="21"/>
              </w:rPr>
              <w:t>李文鹏</w:t>
            </w:r>
            <w:r>
              <w:rPr>
                <w:w w:val="110"/>
                <w:szCs w:val="21"/>
              </w:rPr>
              <w:t>负责</w:t>
            </w:r>
            <w:r>
              <w:rPr>
                <w:rFonts w:hint="eastAsia" w:ascii="宋体" w:hAnsi="宋体"/>
                <w:color w:val="000000"/>
                <w:szCs w:val="21"/>
              </w:rPr>
              <w:t>标准第5章—第7章以及附录的起草工作；杨帅、刘森、陈娜娜、贺春艳、贺鹏艳、吴长征、许志伟负责协助在各自的研究领域收集相关文献资料、参与标准第</w:t>
            </w:r>
            <w:r>
              <w:rPr>
                <w:rFonts w:ascii="宋体" w:hAnsi="宋体"/>
                <w:color w:val="000000"/>
                <w:szCs w:val="21"/>
              </w:rPr>
              <w:t>8</w:t>
            </w:r>
            <w:r>
              <w:rPr>
                <w:rFonts w:hint="eastAsia" w:ascii="宋体" w:hAnsi="宋体"/>
                <w:color w:val="000000"/>
                <w:szCs w:val="21"/>
              </w:rPr>
              <w:t>章-第9章的起草工作。</w:t>
            </w:r>
          </w:p>
        </w:tc>
      </w:tr>
      <w:tr w14:paraId="176AB6D7">
        <w:trPr>
          <w:cantSplit/>
          <w:trHeight w:val="1611" w:hRule="atLeast"/>
        </w:trPr>
        <w:tc>
          <w:tcPr>
            <w:tcW w:w="1970" w:type="dxa"/>
            <w:tcBorders>
              <w:top w:val="single" w:color="auto" w:sz="4" w:space="0"/>
              <w:bottom w:val="single" w:color="auto" w:sz="4" w:space="0"/>
            </w:tcBorders>
            <w:vAlign w:val="center"/>
          </w:tcPr>
          <w:p w14:paraId="1516223C">
            <w:pPr>
              <w:ind w:left="141" w:leftChars="67" w:right="176" w:rightChars="84"/>
              <w:rPr>
                <w:rFonts w:ascii="宋体" w:hAnsi="宋体"/>
                <w:color w:val="000000"/>
                <w:szCs w:val="21"/>
              </w:rPr>
            </w:pPr>
            <w:r>
              <w:rPr>
                <w:rFonts w:ascii="宋体" w:hAnsi="宋体"/>
                <w:color w:val="000000"/>
                <w:szCs w:val="21"/>
              </w:rPr>
              <w:t>3.</w:t>
            </w:r>
            <w:r>
              <w:rPr>
                <w:rFonts w:hint="eastAsia" w:ascii="宋体" w:hAnsi="宋体"/>
                <w:color w:val="000000"/>
                <w:szCs w:val="21"/>
              </w:rPr>
              <w:t>2起草阶段</w:t>
            </w:r>
          </w:p>
        </w:tc>
        <w:tc>
          <w:tcPr>
            <w:tcW w:w="7458" w:type="dxa"/>
            <w:tcBorders>
              <w:bottom w:val="single" w:color="auto" w:sz="4" w:space="0"/>
            </w:tcBorders>
            <w:vAlign w:val="center"/>
          </w:tcPr>
          <w:p w14:paraId="28B2EF8B">
            <w:pPr>
              <w:rPr>
                <w:rFonts w:asciiTheme="minorEastAsia" w:hAnsiTheme="minorEastAsia" w:eastAsiaTheme="minorEastAsia"/>
                <w:kern w:val="0"/>
                <w:szCs w:val="21"/>
                <w:lang w:val="zh-CN" w:bidi="zh-CN"/>
              </w:rPr>
            </w:pPr>
            <w:r>
              <w:rPr>
                <w:rFonts w:hint="eastAsia" w:asciiTheme="minorEastAsia" w:hAnsiTheme="minorEastAsia" w:eastAsiaTheme="minorEastAsia"/>
                <w:kern w:val="0"/>
                <w:szCs w:val="21"/>
                <w:lang w:val="zh-CN" w:bidi="zh-CN"/>
              </w:rPr>
              <w:t>2026年8月：立项，项目启动，召开项目启动会。</w:t>
            </w:r>
          </w:p>
          <w:p w14:paraId="0D47F61D">
            <w:pPr>
              <w:rPr>
                <w:rFonts w:asciiTheme="minorEastAsia" w:hAnsiTheme="minorEastAsia" w:eastAsiaTheme="minorEastAsia"/>
                <w:kern w:val="0"/>
                <w:szCs w:val="21"/>
                <w:lang w:val="zh-CN" w:bidi="zh-CN"/>
              </w:rPr>
            </w:pPr>
            <w:r>
              <w:rPr>
                <w:rFonts w:hint="eastAsia" w:asciiTheme="minorEastAsia" w:hAnsiTheme="minorEastAsia" w:eastAsiaTheme="minorEastAsia"/>
                <w:kern w:val="0"/>
                <w:szCs w:val="21"/>
                <w:lang w:val="zh-CN" w:bidi="zh-CN"/>
              </w:rPr>
              <w:t>2026年9月:调研阶段，开展线上调研，搜集相关政策文件、相关国家标准和行业标准；开展线下调研，记录相关检验检测机构数据共享交换情况和需求。</w:t>
            </w:r>
          </w:p>
          <w:p w14:paraId="54286DD6">
            <w:pPr>
              <w:rPr>
                <w:rFonts w:ascii="宋体" w:hAnsi="宋体"/>
                <w:color w:val="000000"/>
                <w:szCs w:val="21"/>
              </w:rPr>
            </w:pPr>
            <w:r>
              <w:rPr>
                <w:rFonts w:hint="eastAsia" w:ascii="宋体" w:hAnsi="宋体"/>
                <w:color w:val="000000"/>
                <w:szCs w:val="21"/>
              </w:rPr>
              <w:t>2026年10月:标准拟稿阶段，标准起草小组编制标准，形成标准草案稿，标准起草小组讨论修改形成征求意见稿。</w:t>
            </w:r>
          </w:p>
        </w:tc>
      </w:tr>
      <w:tr w14:paraId="7CC7A7E0">
        <w:trPr>
          <w:cantSplit/>
          <w:trHeight w:val="1526" w:hRule="atLeast"/>
        </w:trPr>
        <w:tc>
          <w:tcPr>
            <w:tcW w:w="1970" w:type="dxa"/>
            <w:tcBorders>
              <w:top w:val="single" w:color="auto" w:sz="4" w:space="0"/>
              <w:bottom w:val="single" w:color="auto" w:sz="6" w:space="0"/>
            </w:tcBorders>
            <w:vAlign w:val="center"/>
          </w:tcPr>
          <w:p w14:paraId="4EE5A207">
            <w:pPr>
              <w:ind w:left="141" w:leftChars="67" w:right="176" w:rightChars="84"/>
              <w:rPr>
                <w:rFonts w:ascii="宋体" w:hAnsi="宋体"/>
                <w:color w:val="000000"/>
                <w:szCs w:val="21"/>
              </w:rPr>
            </w:pPr>
            <w:r>
              <w:rPr>
                <w:rFonts w:ascii="宋体" w:hAnsi="宋体"/>
                <w:color w:val="000000"/>
                <w:szCs w:val="21"/>
              </w:rPr>
              <w:t>3.</w:t>
            </w:r>
            <w:r>
              <w:rPr>
                <w:rFonts w:hint="eastAsia" w:ascii="宋体" w:hAnsi="宋体"/>
                <w:color w:val="000000"/>
                <w:szCs w:val="21"/>
              </w:rPr>
              <w:t>3征求意见阶段</w:t>
            </w:r>
          </w:p>
        </w:tc>
        <w:tc>
          <w:tcPr>
            <w:tcW w:w="7458" w:type="dxa"/>
            <w:tcBorders>
              <w:top w:val="single" w:color="auto" w:sz="4" w:space="0"/>
              <w:bottom w:val="single" w:color="auto" w:sz="6" w:space="0"/>
            </w:tcBorders>
            <w:vAlign w:val="center"/>
          </w:tcPr>
          <w:p w14:paraId="1E4F5A3B">
            <w:pPr>
              <w:rPr>
                <w:rFonts w:ascii="宋体" w:hAnsi="宋体"/>
                <w:color w:val="000000"/>
                <w:szCs w:val="21"/>
              </w:rPr>
            </w:pPr>
            <w:r>
              <w:rPr>
                <w:rFonts w:hint="eastAsia" w:ascii="宋体" w:hAnsi="宋体"/>
                <w:color w:val="000000"/>
                <w:szCs w:val="21"/>
              </w:rPr>
              <w:t>2026年</w:t>
            </w:r>
            <w:r>
              <w:rPr>
                <w:rFonts w:hint="eastAsia" w:ascii="宋体" w:hAnsi="宋体"/>
                <w:color w:val="000000"/>
                <w:szCs w:val="21"/>
                <w:lang w:val="en-US" w:eastAsia="zh-CN"/>
              </w:rPr>
              <w:t>11</w:t>
            </w:r>
            <w:bookmarkStart w:id="19" w:name="_GoBack"/>
            <w:bookmarkEnd w:id="19"/>
            <w:r>
              <w:rPr>
                <w:rFonts w:hint="eastAsia" w:ascii="宋体" w:hAnsi="宋体"/>
                <w:color w:val="000000"/>
                <w:szCs w:val="21"/>
              </w:rPr>
              <w:t>月</w:t>
            </w:r>
          </w:p>
        </w:tc>
      </w:tr>
      <w:tr w14:paraId="0CF082B6">
        <w:trPr>
          <w:cantSplit/>
          <w:trHeight w:val="1814" w:hRule="atLeast"/>
        </w:trPr>
        <w:tc>
          <w:tcPr>
            <w:tcW w:w="1970" w:type="dxa"/>
            <w:tcBorders>
              <w:top w:val="single" w:color="auto" w:sz="6" w:space="0"/>
              <w:bottom w:val="single" w:color="auto" w:sz="6" w:space="0"/>
            </w:tcBorders>
            <w:vAlign w:val="center"/>
          </w:tcPr>
          <w:p w14:paraId="0390A9C3">
            <w:pPr>
              <w:ind w:left="141" w:leftChars="67" w:right="176" w:rightChars="84"/>
              <w:rPr>
                <w:rFonts w:ascii="宋体" w:hAnsi="宋体"/>
                <w:color w:val="000000"/>
                <w:szCs w:val="21"/>
              </w:rPr>
            </w:pPr>
            <w:r>
              <w:rPr>
                <w:rFonts w:ascii="宋体" w:hAnsi="宋体"/>
                <w:color w:val="000000"/>
                <w:szCs w:val="21"/>
              </w:rPr>
              <w:t>3.</w:t>
            </w:r>
            <w:r>
              <w:rPr>
                <w:rFonts w:hint="eastAsia" w:ascii="宋体" w:hAnsi="宋体"/>
                <w:color w:val="000000"/>
                <w:szCs w:val="21"/>
              </w:rPr>
              <w:t>4标准预审查阶段</w:t>
            </w:r>
          </w:p>
        </w:tc>
        <w:tc>
          <w:tcPr>
            <w:tcW w:w="7458" w:type="dxa"/>
            <w:tcBorders>
              <w:top w:val="single" w:color="auto" w:sz="6" w:space="0"/>
              <w:bottom w:val="single" w:color="auto" w:sz="6" w:space="0"/>
            </w:tcBorders>
            <w:vAlign w:val="center"/>
          </w:tcPr>
          <w:p w14:paraId="65DED707">
            <w:pPr>
              <w:jc w:val="left"/>
              <w:rPr>
                <w:rFonts w:ascii="宋体" w:hAnsi="宋体"/>
                <w:color w:val="000000"/>
                <w:szCs w:val="21"/>
              </w:rPr>
            </w:pPr>
            <w:r>
              <w:rPr>
                <w:rFonts w:hint="eastAsia" w:ascii="宋体" w:hAnsi="宋体"/>
                <w:color w:val="000000"/>
                <w:szCs w:val="21"/>
              </w:rPr>
              <w:t>未启动</w:t>
            </w:r>
          </w:p>
        </w:tc>
      </w:tr>
      <w:tr w14:paraId="57F7FF44">
        <w:trPr>
          <w:cantSplit/>
          <w:trHeight w:val="1439" w:hRule="atLeast"/>
        </w:trPr>
        <w:tc>
          <w:tcPr>
            <w:tcW w:w="1970" w:type="dxa"/>
            <w:tcBorders>
              <w:top w:val="single" w:color="auto" w:sz="6" w:space="0"/>
              <w:bottom w:val="single" w:color="auto" w:sz="6" w:space="0"/>
            </w:tcBorders>
            <w:vAlign w:val="center"/>
          </w:tcPr>
          <w:p w14:paraId="64D8FAA3">
            <w:pPr>
              <w:ind w:left="141" w:leftChars="67" w:right="176" w:rightChars="84"/>
              <w:rPr>
                <w:rFonts w:ascii="宋体" w:hAnsi="宋体"/>
                <w:color w:val="000000"/>
                <w:szCs w:val="21"/>
              </w:rPr>
            </w:pPr>
            <w:r>
              <w:rPr>
                <w:rFonts w:hint="eastAsia" w:ascii="宋体" w:hAnsi="宋体"/>
                <w:color w:val="000000"/>
                <w:szCs w:val="21"/>
              </w:rPr>
              <w:t>3.5标准审查阶段</w:t>
            </w:r>
          </w:p>
        </w:tc>
        <w:tc>
          <w:tcPr>
            <w:tcW w:w="7458" w:type="dxa"/>
            <w:tcBorders>
              <w:top w:val="single" w:color="auto" w:sz="6" w:space="0"/>
              <w:bottom w:val="single" w:color="auto" w:sz="6" w:space="0"/>
            </w:tcBorders>
            <w:vAlign w:val="center"/>
          </w:tcPr>
          <w:p w14:paraId="5259AF7B">
            <w:pPr>
              <w:jc w:val="left"/>
              <w:rPr>
                <w:rFonts w:ascii="宋体" w:hAnsi="宋体"/>
                <w:color w:val="000000"/>
                <w:szCs w:val="21"/>
              </w:rPr>
            </w:pPr>
            <w:r>
              <w:rPr>
                <w:rFonts w:hint="eastAsia" w:ascii="宋体" w:hAnsi="宋体"/>
                <w:color w:val="000000"/>
                <w:szCs w:val="21"/>
              </w:rPr>
              <w:t>未启动</w:t>
            </w:r>
          </w:p>
        </w:tc>
      </w:tr>
    </w:tbl>
    <w:p w14:paraId="1976C2D8">
      <w:r>
        <w:br w:type="page"/>
      </w:r>
    </w:p>
    <w:tbl>
      <w:tblPr>
        <w:tblStyle w:val="38"/>
        <w:tblpPr w:leftFromText="180" w:rightFromText="180" w:vertAnchor="text" w:horzAnchor="margin" w:tblpXSpec="center" w:tblpY="169"/>
        <w:tblW w:w="962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9625"/>
      </w:tblGrid>
      <w:tr w14:paraId="1E804BB8">
        <w:trPr>
          <w:cantSplit/>
          <w:trHeight w:val="353" w:hRule="atLeast"/>
        </w:trPr>
        <w:tc>
          <w:tcPr>
            <w:tcW w:w="9625" w:type="dxa"/>
            <w:tcBorders>
              <w:top w:val="nil"/>
              <w:left w:val="nil"/>
              <w:bottom w:val="single" w:color="auto" w:sz="4" w:space="0"/>
              <w:right w:val="nil"/>
            </w:tcBorders>
            <w:vAlign w:val="center"/>
          </w:tcPr>
          <w:p w14:paraId="3EE671FB">
            <w:pPr>
              <w:rPr>
                <w:rFonts w:ascii="宋体" w:hAnsi="宋体"/>
                <w:b/>
                <w:color w:val="000000"/>
                <w:szCs w:val="21"/>
              </w:rPr>
            </w:pPr>
            <w:r>
              <w:rPr>
                <w:rFonts w:hint="eastAsia" w:ascii="宋体" w:hAnsi="宋体"/>
                <w:b/>
                <w:color w:val="000000"/>
                <w:szCs w:val="21"/>
              </w:rPr>
              <w:t>4  主要技术内容的确定</w:t>
            </w:r>
          </w:p>
        </w:tc>
      </w:tr>
      <w:tr w14:paraId="044364FA">
        <w:trPr>
          <w:trHeight w:val="6092" w:hRule="atLeast"/>
        </w:trPr>
        <w:tc>
          <w:tcPr>
            <w:tcW w:w="9625" w:type="dxa"/>
            <w:tcBorders>
              <w:top w:val="single" w:color="auto" w:sz="4" w:space="0"/>
              <w:left w:val="single" w:color="auto" w:sz="4" w:space="0"/>
              <w:bottom w:val="single" w:color="auto" w:sz="4" w:space="0"/>
              <w:right w:val="single" w:color="auto" w:sz="4" w:space="0"/>
            </w:tcBorders>
            <w:vAlign w:val="center"/>
          </w:tcPr>
          <w:p w14:paraId="29F279C7">
            <w:pPr>
              <w:rPr>
                <w:rFonts w:ascii="宋体" w:hAnsi="宋体"/>
                <w:color w:val="000000"/>
                <w:szCs w:val="21"/>
              </w:rPr>
            </w:pPr>
            <w:r>
              <w:rPr>
                <w:rFonts w:hint="eastAsia" w:ascii="宋体" w:hAnsi="宋体"/>
                <w:color w:val="000000"/>
                <w:szCs w:val="21"/>
              </w:rPr>
              <w:t>本标准分为</w:t>
            </w:r>
            <w:r>
              <w:rPr>
                <w:rFonts w:ascii="宋体" w:hAnsi="宋体"/>
                <w:color w:val="000000"/>
                <w:szCs w:val="21"/>
              </w:rPr>
              <w:t>9</w:t>
            </w:r>
            <w:r>
              <w:rPr>
                <w:rFonts w:hint="eastAsia" w:ascii="宋体" w:hAnsi="宋体"/>
                <w:color w:val="000000"/>
                <w:szCs w:val="21"/>
              </w:rPr>
              <w:t>部分，主要内容如下：</w:t>
            </w:r>
          </w:p>
          <w:p w14:paraId="0753F517">
            <w:pPr>
              <w:rPr>
                <w:rFonts w:ascii="黑体" w:hAnsi="黑体" w:eastAsia="黑体" w:cs="黑体"/>
                <w:color w:val="000000"/>
                <w:szCs w:val="21"/>
              </w:rPr>
            </w:pPr>
            <w:r>
              <w:rPr>
                <w:rFonts w:hint="eastAsia" w:ascii="黑体" w:hAnsi="黑体" w:eastAsia="黑体" w:cs="黑体"/>
                <w:color w:val="000000"/>
                <w:szCs w:val="21"/>
              </w:rPr>
              <w:t>1.范围</w:t>
            </w:r>
          </w:p>
          <w:p w14:paraId="62C2F9F3">
            <w:pPr>
              <w:ind w:firstLine="420" w:firstLineChars="200"/>
              <w:rPr>
                <w:rFonts w:ascii="宋体" w:hAnsi="宋体"/>
                <w:color w:val="000000"/>
                <w:szCs w:val="21"/>
              </w:rPr>
            </w:pPr>
            <w:r>
              <w:rPr>
                <w:rFonts w:hint="eastAsia" w:ascii="宋体" w:hAnsi="宋体"/>
                <w:color w:val="000000"/>
                <w:szCs w:val="21"/>
              </w:rPr>
              <w:t>规定了本标准规定的主要内容（术语定义、总体框架、数据共享方式及要求、数据共享流程、数据质量、数据安全等要求，以及本标准适用的领域（行业主管部门、检验检测机构及相关组织开展非涉密检验检测机构数据的共享交换）。</w:t>
            </w:r>
          </w:p>
          <w:p w14:paraId="4644FB2F">
            <w:pPr>
              <w:rPr>
                <w:rFonts w:ascii="黑体" w:hAnsi="黑体" w:eastAsia="黑体" w:cs="黑体"/>
                <w:color w:val="000000"/>
                <w:szCs w:val="21"/>
              </w:rPr>
            </w:pPr>
            <w:r>
              <w:rPr>
                <w:rFonts w:hint="eastAsia" w:ascii="黑体" w:hAnsi="黑体" w:eastAsia="黑体" w:cs="黑体"/>
                <w:color w:val="000000"/>
                <w:szCs w:val="21"/>
              </w:rPr>
              <w:t>2.规范性引用文件</w:t>
            </w:r>
          </w:p>
          <w:p w14:paraId="25AABDAD">
            <w:pPr>
              <w:ind w:firstLine="420" w:firstLineChars="200"/>
              <w:rPr>
                <w:rFonts w:ascii="宋体" w:hAnsi="宋体"/>
                <w:color w:val="000000"/>
                <w:szCs w:val="21"/>
              </w:rPr>
            </w:pPr>
            <w:r>
              <w:rPr>
                <w:rFonts w:hint="eastAsia" w:ascii="宋体" w:hAnsi="宋体"/>
                <w:color w:val="000000"/>
                <w:szCs w:val="21"/>
              </w:rPr>
              <w:t>列出了本标准引用的</w:t>
            </w:r>
            <w:r>
              <w:rPr>
                <w:rFonts w:hint="eastAsia"/>
              </w:rPr>
              <w:t xml:space="preserve"> </w:t>
            </w:r>
            <w:r>
              <w:rPr>
                <w:rFonts w:hint="eastAsia" w:ascii="宋体" w:hAnsi="宋体"/>
                <w:color w:val="000000"/>
                <w:szCs w:val="21"/>
              </w:rPr>
              <w:t>GB/T 22239《信息安全技术 网络安全等级保护基本要求》、GB/T 35273《信息安全技术 个人信息安全规范》、GB/T 36344 《信息技术 数据质量评价指标》、</w:t>
            </w:r>
            <w:r>
              <w:rPr>
                <w:rFonts w:hint="eastAsia"/>
              </w:rPr>
              <w:t xml:space="preserve"> </w:t>
            </w:r>
            <w:r>
              <w:rPr>
                <w:rFonts w:hint="eastAsia" w:ascii="宋体" w:hAnsi="宋体"/>
                <w:color w:val="000000"/>
                <w:szCs w:val="21"/>
              </w:rPr>
              <w:t>GB/T 45800.2《全国一体化政务大数据体系 第2部分：数据共享交换要求》等8项国家标准，这些文件的部分条款构成本标准必不可少的组成部分。</w:t>
            </w:r>
          </w:p>
          <w:p w14:paraId="427CF65A">
            <w:pPr>
              <w:rPr>
                <w:rFonts w:ascii="黑体" w:hAnsi="黑体" w:eastAsia="黑体" w:cs="黑体"/>
                <w:color w:val="000000"/>
                <w:szCs w:val="21"/>
              </w:rPr>
            </w:pPr>
            <w:r>
              <w:rPr>
                <w:rFonts w:hint="eastAsia" w:ascii="黑体" w:hAnsi="黑体" w:eastAsia="黑体" w:cs="黑体"/>
                <w:color w:val="000000"/>
                <w:szCs w:val="21"/>
              </w:rPr>
              <w:t>3.术语和定义</w:t>
            </w:r>
          </w:p>
          <w:p w14:paraId="4814CA3E">
            <w:pPr>
              <w:ind w:firstLine="420" w:firstLineChars="200"/>
              <w:rPr>
                <w:rFonts w:ascii="宋体" w:hAnsi="宋体"/>
                <w:color w:val="000000"/>
                <w:szCs w:val="21"/>
              </w:rPr>
            </w:pPr>
            <w:r>
              <w:rPr>
                <w:rFonts w:hint="eastAsia" w:ascii="宋体" w:hAnsi="宋体"/>
                <w:color w:val="000000"/>
                <w:szCs w:val="21"/>
              </w:rPr>
              <w:t>为便于对标准条文的理解，对“数据交换”“数据共享”“市场监管数据平台”“数据提供方”“数据需求方”等</w:t>
            </w:r>
            <w:r>
              <w:rPr>
                <w:rFonts w:ascii="宋体" w:hAnsi="宋体"/>
                <w:color w:val="000000"/>
                <w:szCs w:val="21"/>
              </w:rPr>
              <w:t>5</w:t>
            </w:r>
            <w:r>
              <w:rPr>
                <w:rFonts w:hint="eastAsia" w:ascii="宋体" w:hAnsi="宋体"/>
                <w:color w:val="000000"/>
                <w:szCs w:val="21"/>
              </w:rPr>
              <w:t>个核心术语进行了定义。</w:t>
            </w:r>
          </w:p>
          <w:p w14:paraId="3EB9D8C0">
            <w:pPr>
              <w:rPr>
                <w:rFonts w:ascii="黑体" w:hAnsi="黑体" w:eastAsia="黑体" w:cs="黑体"/>
                <w:color w:val="000000"/>
                <w:szCs w:val="21"/>
              </w:rPr>
            </w:pPr>
            <w:r>
              <w:rPr>
                <w:rFonts w:hint="eastAsia" w:ascii="黑体" w:hAnsi="黑体" w:eastAsia="黑体" w:cs="黑体"/>
                <w:color w:val="000000"/>
                <w:szCs w:val="21"/>
              </w:rPr>
              <w:t>4.基本要求</w:t>
            </w:r>
          </w:p>
          <w:p w14:paraId="7BE53860">
            <w:pPr>
              <w:ind w:firstLine="420" w:firstLineChars="200"/>
              <w:rPr>
                <w:rFonts w:ascii="宋体" w:hAnsi="宋体"/>
                <w:color w:val="000000"/>
                <w:szCs w:val="21"/>
              </w:rPr>
            </w:pPr>
            <w:r>
              <w:rPr>
                <w:rFonts w:hint="eastAsia" w:ascii="宋体" w:hAnsi="宋体"/>
                <w:color w:val="000000"/>
                <w:szCs w:val="21"/>
              </w:rPr>
              <w:t>提出了检验检测机构数据共享应遵循的五项基本原则：</w:t>
            </w:r>
            <w:r>
              <w:rPr>
                <w:rFonts w:hint="eastAsia"/>
              </w:rPr>
              <w:t>合法合规原则、安全可控原则、需求导向原则、标准统一原则以及权责清晰原则</w:t>
            </w:r>
            <w:r>
              <w:rPr>
                <w:rFonts w:hint="eastAsia" w:ascii="宋体" w:hAnsi="宋体"/>
                <w:color w:val="000000"/>
                <w:szCs w:val="21"/>
              </w:rPr>
              <w:t>。</w:t>
            </w:r>
          </w:p>
          <w:p w14:paraId="17E4250A">
            <w:pPr>
              <w:rPr>
                <w:rFonts w:ascii="黑体" w:hAnsi="黑体" w:eastAsia="黑体" w:cs="黑体"/>
                <w:color w:val="000000"/>
                <w:szCs w:val="21"/>
              </w:rPr>
            </w:pPr>
            <w:r>
              <w:rPr>
                <w:rFonts w:hint="eastAsia" w:ascii="黑体" w:hAnsi="黑体" w:eastAsia="黑体" w:cs="黑体"/>
                <w:color w:val="000000"/>
                <w:szCs w:val="21"/>
              </w:rPr>
              <w:t>5.总体框架</w:t>
            </w:r>
          </w:p>
          <w:p w14:paraId="2ED1C390">
            <w:pPr>
              <w:ind w:firstLine="420" w:firstLineChars="200"/>
              <w:rPr>
                <w:rFonts w:ascii="宋体" w:hAnsi="宋体"/>
                <w:color w:val="000000"/>
                <w:szCs w:val="21"/>
              </w:rPr>
            </w:pPr>
            <w:r>
              <w:rPr>
                <w:rFonts w:hint="eastAsia" w:ascii="宋体" w:hAnsi="宋体"/>
                <w:color w:val="000000"/>
                <w:szCs w:val="21"/>
              </w:rPr>
              <w:t>明确了检验检测机构业务系统、市场监管业务系统和国家/地方政务大数据服务平台、社会第三方之间非涉密检验检测机构数据共享交换服务由市场监管数据平台提供；给出了检验检测机构数据共享交换总体框架并概述了</w:t>
            </w:r>
            <w:bookmarkStart w:id="8" w:name="_Toc220779224"/>
            <w:bookmarkStart w:id="9" w:name="_Toc222845349"/>
            <w:bookmarkStart w:id="10" w:name="_Toc243916503"/>
            <w:r>
              <w:rPr>
                <w:rFonts w:hint="eastAsia"/>
              </w:rPr>
              <w:t>数据提供方</w:t>
            </w:r>
            <w:bookmarkEnd w:id="8"/>
            <w:bookmarkEnd w:id="9"/>
            <w:bookmarkEnd w:id="10"/>
            <w:r>
              <w:rPr>
                <w:rFonts w:hint="eastAsia"/>
              </w:rPr>
              <w:t>、</w:t>
            </w:r>
            <w:bookmarkStart w:id="11" w:name="_Toc243916504"/>
            <w:bookmarkStart w:id="12" w:name="_Toc220779225"/>
            <w:bookmarkStart w:id="13" w:name="_Toc222845350"/>
            <w:r>
              <w:rPr>
                <w:rFonts w:hint="eastAsia"/>
              </w:rPr>
              <w:t>数据需求方</w:t>
            </w:r>
            <w:bookmarkEnd w:id="11"/>
            <w:bookmarkEnd w:id="12"/>
            <w:bookmarkEnd w:id="13"/>
            <w:r>
              <w:rPr>
                <w:rFonts w:hint="eastAsia"/>
              </w:rPr>
              <w:t>以及市场监管数据平台3个参与主体的</w:t>
            </w:r>
            <w:r>
              <w:rPr>
                <w:rFonts w:hint="eastAsia" w:ascii="宋体" w:hAnsi="宋体"/>
                <w:color w:val="000000"/>
                <w:szCs w:val="21"/>
              </w:rPr>
              <w:t>角色。总体框架图见图1：</w:t>
            </w:r>
          </w:p>
          <w:p w14:paraId="035C6237">
            <w:r>
              <w:object>
                <v:shape id="_x0000_i1025" o:spt="75" type="#_x0000_t75" style="height:149pt;width:475.55pt;" o:ole="t" filled="f" o:preferrelative="t" stroked="f" coordsize="21600,21600">
                  <v:path/>
                  <v:fill on="f" focussize="0,0"/>
                  <v:stroke on="f" joinstyle="miter"/>
                  <v:imagedata r:id="rId8" o:title=""/>
                  <o:lock v:ext="edit" aspectratio="t"/>
                  <w10:wrap type="none"/>
                  <w10:anchorlock/>
                </v:shape>
                <o:OLEObject Type="Embed" ProgID="Visio.Drawing.15" ShapeID="_x0000_i1025" DrawAspect="Content" ObjectID="_1468075725" r:id="rId7">
                  <o:LockedField>false</o:LockedField>
                </o:OLEObject>
              </w:object>
            </w:r>
          </w:p>
          <w:p w14:paraId="39ADA37C">
            <w:pPr>
              <w:jc w:val="center"/>
              <w:rPr>
                <w:rFonts w:ascii="宋体" w:hAnsi="宋体"/>
                <w:color w:val="000000"/>
                <w:szCs w:val="21"/>
              </w:rPr>
            </w:pPr>
            <w:r>
              <w:rPr>
                <w:rFonts w:hint="eastAsia"/>
              </w:rPr>
              <w:t>图1： 检验检测机构数据共享交换总体框架</w:t>
            </w:r>
          </w:p>
          <w:p w14:paraId="39C291A6">
            <w:pPr>
              <w:rPr>
                <w:rFonts w:ascii="黑体" w:hAnsi="黑体" w:eastAsia="黑体" w:cs="黑体"/>
                <w:color w:val="000000"/>
                <w:szCs w:val="21"/>
              </w:rPr>
            </w:pPr>
            <w:r>
              <w:rPr>
                <w:rFonts w:hint="eastAsia" w:ascii="黑体" w:hAnsi="黑体" w:eastAsia="黑体" w:cs="黑体"/>
                <w:color w:val="000000"/>
                <w:szCs w:val="21"/>
              </w:rPr>
              <w:t>6.数据共享方式及要求</w:t>
            </w:r>
          </w:p>
          <w:p w14:paraId="0DC67459">
            <w:pPr>
              <w:ind w:firstLine="420" w:firstLineChars="200"/>
              <w:rPr>
                <w:rFonts w:ascii="宋体" w:hAnsi="宋体"/>
                <w:color w:val="000000"/>
                <w:szCs w:val="21"/>
              </w:rPr>
            </w:pPr>
            <w:r>
              <w:rPr>
                <w:rFonts w:hint="eastAsia" w:ascii="宋体" w:hAnsi="宋体"/>
                <w:color w:val="000000"/>
                <w:szCs w:val="21"/>
              </w:rPr>
              <w:t>规定了数据共享方式（包括接口传输、库表交换和文件交换）、数据流程图、数据格式要求（包括结构化数据格式和非结构化数据格式）、数据共享要求（包括数据共享频率、数据更新和数据可追溯）。数据流程图见图</w:t>
            </w:r>
            <w:r>
              <w:rPr>
                <w:rFonts w:ascii="宋体" w:hAnsi="宋体"/>
                <w:color w:val="000000"/>
                <w:szCs w:val="21"/>
              </w:rPr>
              <w:t>2</w:t>
            </w:r>
            <w:r>
              <w:rPr>
                <w:rFonts w:hint="eastAsia" w:ascii="宋体" w:hAnsi="宋体"/>
                <w:color w:val="000000"/>
                <w:szCs w:val="21"/>
              </w:rPr>
              <w:t>。</w:t>
            </w:r>
          </w:p>
          <w:p w14:paraId="141EAED9">
            <w:pPr>
              <w:jc w:val="center"/>
            </w:pPr>
            <w:bookmarkStart w:id="14" w:name="OLE_LINK52"/>
            <w:bookmarkStart w:id="15" w:name="OLE_LINK51"/>
            <w:r>
              <w:object>
                <v:shape id="_x0000_i1026" o:spt="75" type="#_x0000_t75" style="height:193.4pt;width:308.95pt;" o:ole="t" filled="f" o:preferrelative="t" stroked="f" coordsize="21600,21600">
                  <v:path/>
                  <v:fill on="f" focussize="0,0"/>
                  <v:stroke on="f" joinstyle="miter"/>
                  <v:imagedata r:id="rId10" o:title=""/>
                  <o:lock v:ext="edit" aspectratio="t"/>
                  <w10:wrap type="none"/>
                  <w10:anchorlock/>
                </v:shape>
                <o:OLEObject Type="Embed" ProgID="Visio.Drawing.15" ShapeID="_x0000_i1026" DrawAspect="Content" ObjectID="_1468075726" r:id="rId9">
                  <o:LockedField>false</o:LockedField>
                </o:OLEObject>
              </w:object>
            </w:r>
            <w:bookmarkEnd w:id="14"/>
            <w:bookmarkEnd w:id="15"/>
          </w:p>
          <w:p w14:paraId="0652B086">
            <w:pPr>
              <w:jc w:val="center"/>
              <w:rPr>
                <w:rFonts w:ascii="宋体" w:hAnsi="宋体"/>
                <w:color w:val="000000"/>
                <w:szCs w:val="21"/>
              </w:rPr>
            </w:pPr>
            <w:r>
              <w:t xml:space="preserve">  </w:t>
            </w:r>
            <w:r>
              <w:rPr>
                <w:rFonts w:hint="eastAsia"/>
              </w:rPr>
              <w:t>图2： 数据流程图</w:t>
            </w:r>
          </w:p>
          <w:p w14:paraId="53F4E6FA">
            <w:pPr>
              <w:rPr>
                <w:rFonts w:ascii="黑体" w:hAnsi="黑体" w:eastAsia="黑体" w:cs="黑体"/>
                <w:color w:val="000000"/>
                <w:szCs w:val="21"/>
              </w:rPr>
            </w:pPr>
            <w:r>
              <w:rPr>
                <w:rFonts w:hint="eastAsia" w:ascii="黑体" w:hAnsi="黑体" w:eastAsia="黑体" w:cs="黑体"/>
                <w:color w:val="000000"/>
                <w:szCs w:val="21"/>
              </w:rPr>
              <w:t>7.数据共享流程</w:t>
            </w:r>
          </w:p>
          <w:p w14:paraId="778D4972">
            <w:pPr>
              <w:ind w:firstLine="420" w:firstLineChars="200"/>
              <w:rPr>
                <w:rFonts w:ascii="宋体" w:hAnsi="宋体"/>
                <w:color w:val="000000"/>
                <w:szCs w:val="21"/>
              </w:rPr>
            </w:pPr>
            <w:r>
              <w:rPr>
                <w:rFonts w:hint="eastAsia" w:ascii="宋体" w:hAnsi="宋体"/>
                <w:color w:val="000000"/>
                <w:szCs w:val="21"/>
              </w:rPr>
              <w:t>给出了业务流程图描述规则、业务流程图及业务流程图描述。业务流程图见图3。</w:t>
            </w:r>
          </w:p>
          <w:p w14:paraId="31CFA6A4">
            <w:pPr>
              <w:jc w:val="center"/>
            </w:pPr>
            <w:r>
              <w:object>
                <v:shape id="_x0000_i1027" o:spt="75" type="#_x0000_t75" style="height:234.4pt;width:315.65pt;" o:ole="t" filled="f" o:preferrelative="t" stroked="f" coordsize="21600,21600">
                  <v:path/>
                  <v:fill on="f" focussize="0,0"/>
                  <v:stroke on="f" joinstyle="miter"/>
                  <v:imagedata r:id="rId12" o:title=""/>
                  <o:lock v:ext="edit" aspectratio="t"/>
                  <w10:wrap type="none"/>
                  <w10:anchorlock/>
                </v:shape>
                <o:OLEObject Type="Embed" ProgID="Visio.Drawing.15" ShapeID="_x0000_i1027" DrawAspect="Content" ObjectID="_1468075727" r:id="rId11">
                  <o:LockedField>false</o:LockedField>
                </o:OLEObject>
              </w:object>
            </w:r>
          </w:p>
          <w:p w14:paraId="66D27689">
            <w:pPr>
              <w:jc w:val="center"/>
              <w:rPr>
                <w:rFonts w:ascii="宋体" w:hAnsi="宋体"/>
                <w:color w:val="000000"/>
                <w:szCs w:val="21"/>
              </w:rPr>
            </w:pPr>
            <w:r>
              <w:rPr>
                <w:rFonts w:hint="eastAsia"/>
              </w:rPr>
              <w:t>图</w:t>
            </w:r>
            <w:r>
              <w:t>3</w:t>
            </w:r>
            <w:r>
              <w:rPr>
                <w:rFonts w:hint="eastAsia"/>
              </w:rPr>
              <w:t>： 业务流程图</w:t>
            </w:r>
            <w:r>
              <w:t xml:space="preserve">                        </w:t>
            </w:r>
          </w:p>
          <w:p w14:paraId="2937D553">
            <w:pPr>
              <w:rPr>
                <w:rFonts w:ascii="黑体" w:hAnsi="黑体" w:eastAsia="黑体" w:cs="黑体"/>
                <w:color w:val="000000"/>
                <w:szCs w:val="21"/>
              </w:rPr>
            </w:pPr>
            <w:r>
              <w:rPr>
                <w:rFonts w:hint="eastAsia" w:ascii="黑体" w:hAnsi="黑体" w:eastAsia="黑体" w:cs="黑体"/>
                <w:color w:val="000000"/>
                <w:szCs w:val="21"/>
              </w:rPr>
              <w:t>8.数据质量</w:t>
            </w:r>
          </w:p>
          <w:p w14:paraId="5B4C3B35">
            <w:pPr>
              <w:ind w:firstLine="420" w:firstLineChars="200"/>
              <w:rPr>
                <w:rFonts w:ascii="宋体" w:hAnsi="宋体"/>
                <w:color w:val="000000"/>
                <w:szCs w:val="21"/>
              </w:rPr>
            </w:pPr>
            <w:r>
              <w:rPr>
                <w:rFonts w:hint="eastAsia"/>
              </w:rPr>
              <w:t>明确</w:t>
            </w:r>
            <w:r>
              <w:t>数据提供方</w:t>
            </w:r>
            <w:r>
              <w:rPr>
                <w:rFonts w:hint="eastAsia"/>
              </w:rPr>
              <w:t>应</w:t>
            </w:r>
            <w:r>
              <w:t>按质量要求报送检验检测机构数据，由市场监管数据平台校核反馈、督促整改重报；共享数据需满足规范性、完整性、准确性、一致性、时效性、可访问性要求，依据 GB/T 36344</w:t>
            </w:r>
            <w:r>
              <w:noBreakHyphen/>
            </w:r>
            <w:r>
              <w:t>2018 开展质量评价并持续整改优化，适配各方应用需求。</w:t>
            </w:r>
          </w:p>
          <w:p w14:paraId="4FC5142A">
            <w:pPr>
              <w:rPr>
                <w:rFonts w:ascii="宋体" w:hAnsi="宋体"/>
                <w:color w:val="000000"/>
                <w:szCs w:val="21"/>
              </w:rPr>
            </w:pPr>
            <w:r>
              <w:rPr>
                <w:rFonts w:hint="eastAsia" w:ascii="黑体" w:hAnsi="黑体" w:eastAsia="黑体" w:cs="黑体"/>
                <w:color w:val="000000"/>
                <w:szCs w:val="21"/>
              </w:rPr>
              <w:t>9.数据安全</w:t>
            </w:r>
          </w:p>
          <w:p w14:paraId="5625253B">
            <w:pPr>
              <w:ind w:firstLine="420" w:firstLineChars="200"/>
              <w:rPr>
                <w:rFonts w:ascii="宋体" w:hAnsi="宋体"/>
                <w:color w:val="000000"/>
                <w:szCs w:val="21"/>
              </w:rPr>
            </w:pPr>
            <w:r>
              <w:rPr>
                <w:rFonts w:hint="eastAsia" w:ascii="宋体" w:hAnsi="宋体"/>
                <w:color w:val="000000"/>
                <w:szCs w:val="21"/>
              </w:rPr>
              <w:t>明确数据安全的通用合规要求、访问授权控制、</w:t>
            </w:r>
            <w:bookmarkStart w:id="16" w:name="_Toc243916524"/>
            <w:r>
              <w:rPr>
                <w:rFonts w:hint="eastAsia"/>
              </w:rPr>
              <w:t>安全审计</w:t>
            </w:r>
            <w:bookmarkEnd w:id="16"/>
            <w:r>
              <w:rPr>
                <w:rFonts w:hint="eastAsia"/>
              </w:rPr>
              <w:t>、</w:t>
            </w:r>
            <w:bookmarkStart w:id="17" w:name="_Toc243916525"/>
            <w:r>
              <w:rPr>
                <w:rFonts w:hint="eastAsia"/>
              </w:rPr>
              <w:t>数据销毁</w:t>
            </w:r>
            <w:bookmarkEnd w:id="17"/>
            <w:r>
              <w:rPr>
                <w:rFonts w:hint="eastAsia"/>
              </w:rPr>
              <w:t>以及</w:t>
            </w:r>
            <w:bookmarkStart w:id="18" w:name="_Toc243916526"/>
            <w:r>
              <w:rPr>
                <w:rFonts w:hint="eastAsia"/>
              </w:rPr>
              <w:t>安全风险监测与应急处置</w:t>
            </w:r>
            <w:bookmarkEnd w:id="18"/>
            <w:r>
              <w:rPr>
                <w:rFonts w:hint="eastAsia" w:ascii="宋体" w:hAnsi="宋体"/>
                <w:color w:val="000000"/>
                <w:szCs w:val="21"/>
              </w:rPr>
              <w:t>。</w:t>
            </w:r>
          </w:p>
          <w:p w14:paraId="324659BD">
            <w:pPr>
              <w:rPr>
                <w:rFonts w:ascii="黑体" w:hAnsi="黑体" w:eastAsia="黑体" w:cs="黑体"/>
                <w:color w:val="000000"/>
                <w:szCs w:val="21"/>
              </w:rPr>
            </w:pPr>
            <w:r>
              <w:rPr>
                <w:rFonts w:hint="eastAsia" w:ascii="黑体" w:hAnsi="黑体" w:eastAsia="黑体" w:cs="黑体"/>
                <w:color w:val="000000"/>
                <w:szCs w:val="21"/>
              </w:rPr>
              <w:t>附录A（资料性）</w:t>
            </w:r>
          </w:p>
          <w:p w14:paraId="6C1BA7E2">
            <w:pPr>
              <w:ind w:firstLine="420" w:firstLineChars="200"/>
              <w:rPr>
                <w:rFonts w:ascii="宋体" w:hAnsi="宋体"/>
                <w:color w:val="000000"/>
                <w:szCs w:val="21"/>
              </w:rPr>
            </w:pPr>
            <w:r>
              <w:rPr>
                <w:rFonts w:hint="eastAsia" w:ascii="宋体" w:hAnsi="宋体"/>
                <w:color w:val="000000"/>
                <w:szCs w:val="21"/>
              </w:rPr>
              <w:t>给出了流程图描述规则，包括图形符合、流程图以及流程图描述。</w:t>
            </w:r>
          </w:p>
        </w:tc>
      </w:tr>
    </w:tbl>
    <w:p w14:paraId="527620EB">
      <w:pPr>
        <w:rPr>
          <w:rFonts w:eastAsia="仿宋_GB2312"/>
          <w:b/>
          <w:color w:val="000000"/>
          <w:kern w:val="0"/>
          <w:sz w:val="32"/>
        </w:rPr>
      </w:pPr>
    </w:p>
    <w:p w14:paraId="10B6BB59">
      <w:r>
        <w:br w:type="page"/>
      </w:r>
    </w:p>
    <w:tbl>
      <w:tblPr>
        <w:tblStyle w:val="38"/>
        <w:tblpPr w:leftFromText="180" w:rightFromText="180" w:vertAnchor="text" w:horzAnchor="margin" w:tblpXSpec="center" w:tblpY="169"/>
        <w:tblW w:w="962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800"/>
        <w:gridCol w:w="6"/>
        <w:gridCol w:w="3853"/>
        <w:gridCol w:w="1315"/>
        <w:gridCol w:w="2651"/>
      </w:tblGrid>
      <w:tr w14:paraId="68BD1F5E">
        <w:trPr>
          <w:cantSplit/>
          <w:trHeight w:val="490" w:hRule="atLeast"/>
        </w:trPr>
        <w:tc>
          <w:tcPr>
            <w:tcW w:w="9625" w:type="dxa"/>
            <w:gridSpan w:val="5"/>
            <w:tcBorders>
              <w:top w:val="nil"/>
              <w:left w:val="nil"/>
              <w:bottom w:val="nil"/>
              <w:right w:val="nil"/>
            </w:tcBorders>
            <w:vAlign w:val="center"/>
          </w:tcPr>
          <w:p w14:paraId="60BDCC9A">
            <w:pPr>
              <w:rPr>
                <w:rFonts w:ascii="宋体" w:hAnsi="宋体"/>
                <w:b/>
                <w:color w:val="000000"/>
                <w:szCs w:val="21"/>
              </w:rPr>
            </w:pPr>
            <w:r>
              <w:rPr>
                <w:rFonts w:hint="eastAsia" w:ascii="宋体" w:hAnsi="宋体"/>
                <w:b/>
                <w:color w:val="000000"/>
                <w:szCs w:val="21"/>
              </w:rPr>
              <w:t>5  验证情况（基础类标准除外）</w:t>
            </w:r>
          </w:p>
        </w:tc>
      </w:tr>
      <w:tr w14:paraId="4CA15312">
        <w:trPr>
          <w:cantSplit/>
          <w:trHeight w:val="585" w:hRule="atLeast"/>
        </w:trPr>
        <w:tc>
          <w:tcPr>
            <w:tcW w:w="1800" w:type="dxa"/>
            <w:vMerge w:val="restart"/>
            <w:tcBorders>
              <w:top w:val="single" w:color="auto" w:sz="4" w:space="0"/>
              <w:left w:val="single" w:color="auto" w:sz="4" w:space="0"/>
              <w:right w:val="single" w:color="auto" w:sz="4" w:space="0"/>
            </w:tcBorders>
            <w:vAlign w:val="center"/>
          </w:tcPr>
          <w:p w14:paraId="2BD5D1ED">
            <w:pPr>
              <w:ind w:left="141" w:leftChars="67" w:right="48" w:rightChars="23"/>
              <w:rPr>
                <w:rFonts w:ascii="宋体" w:hAnsi="宋体"/>
                <w:color w:val="000000"/>
                <w:szCs w:val="21"/>
              </w:rPr>
            </w:pPr>
            <w:r>
              <w:rPr>
                <w:rFonts w:ascii="宋体" w:hAnsi="宋体"/>
                <w:color w:val="000000"/>
                <w:szCs w:val="21"/>
              </w:rPr>
              <w:t>5.1 验证单位情况</w:t>
            </w:r>
          </w:p>
        </w:tc>
        <w:tc>
          <w:tcPr>
            <w:tcW w:w="3859" w:type="dxa"/>
            <w:gridSpan w:val="2"/>
            <w:tcBorders>
              <w:top w:val="single" w:color="auto" w:sz="4" w:space="0"/>
              <w:left w:val="single" w:color="auto" w:sz="4" w:space="0"/>
              <w:bottom w:val="single" w:color="auto" w:sz="4" w:space="0"/>
              <w:right w:val="single" w:color="auto" w:sz="4" w:space="0"/>
            </w:tcBorders>
            <w:vAlign w:val="center"/>
          </w:tcPr>
          <w:p w14:paraId="5A6233F1">
            <w:pPr>
              <w:ind w:left="141" w:leftChars="67" w:right="48" w:rightChars="23"/>
              <w:jc w:val="center"/>
              <w:rPr>
                <w:rFonts w:ascii="宋体" w:hAnsi="宋体"/>
                <w:color w:val="000000"/>
                <w:szCs w:val="21"/>
              </w:rPr>
            </w:pPr>
            <w:r>
              <w:rPr>
                <w:rFonts w:ascii="宋体" w:hAnsi="宋体"/>
                <w:color w:val="000000"/>
                <w:szCs w:val="21"/>
              </w:rPr>
              <w:t>验证单位</w:t>
            </w:r>
          </w:p>
        </w:tc>
        <w:tc>
          <w:tcPr>
            <w:tcW w:w="1315" w:type="dxa"/>
            <w:tcBorders>
              <w:top w:val="single" w:color="auto" w:sz="4" w:space="0"/>
              <w:left w:val="single" w:color="auto" w:sz="4" w:space="0"/>
              <w:bottom w:val="single" w:color="auto" w:sz="4" w:space="0"/>
              <w:right w:val="single" w:color="auto" w:sz="4" w:space="0"/>
            </w:tcBorders>
            <w:vAlign w:val="center"/>
          </w:tcPr>
          <w:p w14:paraId="05D1A15B">
            <w:pPr>
              <w:jc w:val="center"/>
              <w:rPr>
                <w:rFonts w:ascii="宋体" w:hAnsi="宋体"/>
                <w:color w:val="000000"/>
                <w:szCs w:val="21"/>
              </w:rPr>
            </w:pPr>
            <w:r>
              <w:rPr>
                <w:rFonts w:ascii="宋体" w:hAnsi="宋体"/>
                <w:color w:val="000000"/>
                <w:szCs w:val="21"/>
              </w:rPr>
              <w:t>验证人员</w:t>
            </w:r>
          </w:p>
        </w:tc>
        <w:tc>
          <w:tcPr>
            <w:tcW w:w="2651" w:type="dxa"/>
            <w:tcBorders>
              <w:top w:val="single" w:color="auto" w:sz="4" w:space="0"/>
              <w:left w:val="single" w:color="auto" w:sz="4" w:space="0"/>
              <w:bottom w:val="single" w:color="auto" w:sz="4" w:space="0"/>
              <w:right w:val="single" w:color="auto" w:sz="4" w:space="0"/>
            </w:tcBorders>
            <w:vAlign w:val="center"/>
          </w:tcPr>
          <w:p w14:paraId="0FF755B3">
            <w:pPr>
              <w:jc w:val="center"/>
              <w:rPr>
                <w:rFonts w:ascii="宋体" w:hAnsi="宋体"/>
                <w:color w:val="000000"/>
                <w:szCs w:val="21"/>
              </w:rPr>
            </w:pPr>
            <w:r>
              <w:rPr>
                <w:rFonts w:ascii="宋体" w:hAnsi="宋体"/>
                <w:color w:val="000000"/>
                <w:szCs w:val="21"/>
              </w:rPr>
              <w:t>验证时间</w:t>
            </w:r>
          </w:p>
        </w:tc>
      </w:tr>
      <w:tr w14:paraId="47DAB0B8">
        <w:trPr>
          <w:cantSplit/>
          <w:trHeight w:val="435" w:hRule="atLeast"/>
        </w:trPr>
        <w:tc>
          <w:tcPr>
            <w:tcW w:w="1800" w:type="dxa"/>
            <w:vMerge w:val="continue"/>
            <w:tcBorders>
              <w:left w:val="single" w:color="auto" w:sz="4" w:space="0"/>
              <w:right w:val="single" w:color="auto" w:sz="4" w:space="0"/>
            </w:tcBorders>
            <w:vAlign w:val="center"/>
          </w:tcPr>
          <w:p w14:paraId="01AE8714">
            <w:pPr>
              <w:ind w:left="141" w:leftChars="67" w:right="48" w:rightChars="23"/>
              <w:jc w:val="center"/>
              <w:rPr>
                <w:rFonts w:ascii="宋体" w:hAnsi="宋体"/>
                <w:color w:val="000000"/>
                <w:szCs w:val="21"/>
              </w:rPr>
            </w:pPr>
          </w:p>
        </w:tc>
        <w:tc>
          <w:tcPr>
            <w:tcW w:w="3859" w:type="dxa"/>
            <w:gridSpan w:val="2"/>
            <w:tcBorders>
              <w:top w:val="single" w:color="auto" w:sz="4" w:space="0"/>
              <w:left w:val="single" w:color="auto" w:sz="4" w:space="0"/>
              <w:bottom w:val="single" w:color="auto" w:sz="4" w:space="0"/>
              <w:right w:val="single" w:color="auto" w:sz="4" w:space="0"/>
            </w:tcBorders>
            <w:vAlign w:val="center"/>
          </w:tcPr>
          <w:p w14:paraId="7B1E0FBC">
            <w:pPr>
              <w:ind w:left="141" w:leftChars="67" w:right="48" w:rightChars="23"/>
              <w:jc w:val="center"/>
              <w:rPr>
                <w:rFonts w:ascii="宋体" w:hAnsi="宋体"/>
                <w:color w:val="000000"/>
                <w:szCs w:val="21"/>
              </w:rPr>
            </w:pPr>
          </w:p>
        </w:tc>
        <w:tc>
          <w:tcPr>
            <w:tcW w:w="1315" w:type="dxa"/>
            <w:tcBorders>
              <w:top w:val="single" w:color="auto" w:sz="4" w:space="0"/>
              <w:left w:val="single" w:color="auto" w:sz="4" w:space="0"/>
              <w:bottom w:val="single" w:color="auto" w:sz="4" w:space="0"/>
              <w:right w:val="single" w:color="auto" w:sz="4" w:space="0"/>
            </w:tcBorders>
            <w:vAlign w:val="center"/>
          </w:tcPr>
          <w:p w14:paraId="4EA03BEA">
            <w:pPr>
              <w:jc w:val="center"/>
              <w:rPr>
                <w:rFonts w:ascii="宋体" w:hAnsi="宋体"/>
                <w:color w:val="000000"/>
                <w:szCs w:val="21"/>
              </w:rPr>
            </w:pPr>
          </w:p>
        </w:tc>
        <w:tc>
          <w:tcPr>
            <w:tcW w:w="2651" w:type="dxa"/>
            <w:tcBorders>
              <w:top w:val="single" w:color="auto" w:sz="4" w:space="0"/>
              <w:left w:val="single" w:color="auto" w:sz="4" w:space="0"/>
              <w:bottom w:val="single" w:color="auto" w:sz="4" w:space="0"/>
              <w:right w:val="single" w:color="auto" w:sz="4" w:space="0"/>
            </w:tcBorders>
            <w:vAlign w:val="center"/>
          </w:tcPr>
          <w:p w14:paraId="485907AD">
            <w:pPr>
              <w:wordWrap w:val="0"/>
              <w:jc w:val="right"/>
              <w:rPr>
                <w:rFonts w:ascii="宋体" w:hAnsi="宋体"/>
                <w:color w:val="000000"/>
                <w:szCs w:val="21"/>
              </w:rPr>
            </w:pPr>
          </w:p>
        </w:tc>
      </w:tr>
      <w:tr w14:paraId="3A035938">
        <w:trPr>
          <w:cantSplit/>
          <w:trHeight w:val="435" w:hRule="atLeast"/>
        </w:trPr>
        <w:tc>
          <w:tcPr>
            <w:tcW w:w="1800" w:type="dxa"/>
            <w:vMerge w:val="continue"/>
            <w:tcBorders>
              <w:left w:val="single" w:color="auto" w:sz="4" w:space="0"/>
              <w:right w:val="single" w:color="auto" w:sz="4" w:space="0"/>
            </w:tcBorders>
            <w:vAlign w:val="center"/>
          </w:tcPr>
          <w:p w14:paraId="2B5EB3B4">
            <w:pPr>
              <w:ind w:left="141" w:leftChars="67" w:right="48" w:rightChars="23"/>
              <w:jc w:val="center"/>
              <w:rPr>
                <w:rFonts w:ascii="宋体" w:hAnsi="宋体"/>
                <w:color w:val="000000"/>
                <w:szCs w:val="21"/>
              </w:rPr>
            </w:pPr>
          </w:p>
        </w:tc>
        <w:tc>
          <w:tcPr>
            <w:tcW w:w="3859" w:type="dxa"/>
            <w:gridSpan w:val="2"/>
            <w:tcBorders>
              <w:top w:val="single" w:color="auto" w:sz="4" w:space="0"/>
              <w:left w:val="single" w:color="auto" w:sz="4" w:space="0"/>
              <w:bottom w:val="single" w:color="auto" w:sz="4" w:space="0"/>
              <w:right w:val="single" w:color="auto" w:sz="4" w:space="0"/>
            </w:tcBorders>
            <w:vAlign w:val="center"/>
          </w:tcPr>
          <w:p w14:paraId="0A9C52FA">
            <w:pPr>
              <w:ind w:left="141" w:leftChars="67" w:right="48" w:rightChars="23"/>
              <w:jc w:val="center"/>
              <w:rPr>
                <w:rFonts w:ascii="宋体" w:hAnsi="宋体"/>
                <w:color w:val="000000"/>
                <w:szCs w:val="21"/>
              </w:rPr>
            </w:pPr>
          </w:p>
        </w:tc>
        <w:tc>
          <w:tcPr>
            <w:tcW w:w="1315" w:type="dxa"/>
            <w:tcBorders>
              <w:top w:val="single" w:color="auto" w:sz="4" w:space="0"/>
              <w:left w:val="single" w:color="auto" w:sz="4" w:space="0"/>
              <w:bottom w:val="single" w:color="auto" w:sz="4" w:space="0"/>
              <w:right w:val="single" w:color="auto" w:sz="4" w:space="0"/>
            </w:tcBorders>
            <w:vAlign w:val="center"/>
          </w:tcPr>
          <w:p w14:paraId="3E4B5ACC">
            <w:pPr>
              <w:jc w:val="center"/>
              <w:rPr>
                <w:rFonts w:ascii="宋体" w:hAnsi="宋体"/>
                <w:color w:val="000000"/>
                <w:szCs w:val="21"/>
              </w:rPr>
            </w:pPr>
          </w:p>
        </w:tc>
        <w:tc>
          <w:tcPr>
            <w:tcW w:w="2651" w:type="dxa"/>
            <w:tcBorders>
              <w:top w:val="single" w:color="auto" w:sz="4" w:space="0"/>
              <w:left w:val="single" w:color="auto" w:sz="4" w:space="0"/>
              <w:bottom w:val="single" w:color="auto" w:sz="4" w:space="0"/>
              <w:right w:val="single" w:color="auto" w:sz="4" w:space="0"/>
            </w:tcBorders>
          </w:tcPr>
          <w:p w14:paraId="583852C1">
            <w:pPr>
              <w:jc w:val="right"/>
              <w:rPr>
                <w:rFonts w:ascii="宋体" w:hAnsi="宋体"/>
                <w:color w:val="000000"/>
                <w:szCs w:val="21"/>
              </w:rPr>
            </w:pPr>
          </w:p>
        </w:tc>
      </w:tr>
      <w:tr w14:paraId="6105373D">
        <w:trPr>
          <w:cantSplit/>
          <w:trHeight w:val="435" w:hRule="atLeast"/>
        </w:trPr>
        <w:tc>
          <w:tcPr>
            <w:tcW w:w="1800" w:type="dxa"/>
            <w:vMerge w:val="continue"/>
            <w:tcBorders>
              <w:left w:val="single" w:color="auto" w:sz="4" w:space="0"/>
              <w:right w:val="single" w:color="auto" w:sz="4" w:space="0"/>
            </w:tcBorders>
            <w:vAlign w:val="center"/>
          </w:tcPr>
          <w:p w14:paraId="354C6BF2">
            <w:pPr>
              <w:ind w:left="141" w:leftChars="67" w:right="48" w:rightChars="23"/>
              <w:jc w:val="center"/>
              <w:rPr>
                <w:rFonts w:ascii="宋体" w:hAnsi="宋体"/>
                <w:color w:val="000000"/>
                <w:szCs w:val="21"/>
              </w:rPr>
            </w:pPr>
          </w:p>
        </w:tc>
        <w:tc>
          <w:tcPr>
            <w:tcW w:w="3859" w:type="dxa"/>
            <w:gridSpan w:val="2"/>
            <w:tcBorders>
              <w:top w:val="single" w:color="auto" w:sz="4" w:space="0"/>
              <w:left w:val="single" w:color="auto" w:sz="4" w:space="0"/>
              <w:bottom w:val="single" w:color="auto" w:sz="4" w:space="0"/>
              <w:right w:val="single" w:color="auto" w:sz="4" w:space="0"/>
            </w:tcBorders>
            <w:vAlign w:val="center"/>
          </w:tcPr>
          <w:p w14:paraId="11138CA0">
            <w:pPr>
              <w:ind w:left="141" w:leftChars="67" w:right="48" w:rightChars="23"/>
              <w:jc w:val="center"/>
              <w:rPr>
                <w:rFonts w:ascii="宋体" w:hAnsi="宋体"/>
                <w:color w:val="000000"/>
                <w:szCs w:val="21"/>
              </w:rPr>
            </w:pPr>
          </w:p>
        </w:tc>
        <w:tc>
          <w:tcPr>
            <w:tcW w:w="1315" w:type="dxa"/>
            <w:tcBorders>
              <w:top w:val="single" w:color="auto" w:sz="4" w:space="0"/>
              <w:left w:val="single" w:color="auto" w:sz="4" w:space="0"/>
              <w:bottom w:val="single" w:color="auto" w:sz="4" w:space="0"/>
              <w:right w:val="single" w:color="auto" w:sz="4" w:space="0"/>
            </w:tcBorders>
            <w:vAlign w:val="center"/>
          </w:tcPr>
          <w:p w14:paraId="1FDF5AB2">
            <w:pPr>
              <w:jc w:val="center"/>
              <w:rPr>
                <w:rFonts w:ascii="宋体" w:hAnsi="宋体"/>
                <w:color w:val="000000"/>
                <w:szCs w:val="21"/>
              </w:rPr>
            </w:pPr>
          </w:p>
        </w:tc>
        <w:tc>
          <w:tcPr>
            <w:tcW w:w="2651" w:type="dxa"/>
            <w:tcBorders>
              <w:top w:val="single" w:color="auto" w:sz="4" w:space="0"/>
              <w:left w:val="single" w:color="auto" w:sz="4" w:space="0"/>
              <w:bottom w:val="single" w:color="auto" w:sz="4" w:space="0"/>
              <w:right w:val="single" w:color="auto" w:sz="4" w:space="0"/>
            </w:tcBorders>
          </w:tcPr>
          <w:p w14:paraId="46AB556E">
            <w:pPr>
              <w:jc w:val="right"/>
              <w:rPr>
                <w:rFonts w:ascii="宋体" w:hAnsi="宋体"/>
                <w:color w:val="000000"/>
                <w:szCs w:val="21"/>
              </w:rPr>
            </w:pPr>
          </w:p>
        </w:tc>
      </w:tr>
      <w:tr w14:paraId="04D564C3">
        <w:trPr>
          <w:cantSplit/>
          <w:trHeight w:val="435" w:hRule="atLeast"/>
        </w:trPr>
        <w:tc>
          <w:tcPr>
            <w:tcW w:w="1800" w:type="dxa"/>
            <w:vMerge w:val="continue"/>
            <w:tcBorders>
              <w:left w:val="single" w:color="auto" w:sz="4" w:space="0"/>
              <w:right w:val="single" w:color="auto" w:sz="4" w:space="0"/>
            </w:tcBorders>
            <w:vAlign w:val="center"/>
          </w:tcPr>
          <w:p w14:paraId="003CDCB1">
            <w:pPr>
              <w:ind w:left="141" w:leftChars="67" w:right="48" w:rightChars="23"/>
              <w:jc w:val="center"/>
              <w:rPr>
                <w:rFonts w:ascii="宋体" w:hAnsi="宋体"/>
                <w:color w:val="000000"/>
                <w:szCs w:val="21"/>
              </w:rPr>
            </w:pPr>
          </w:p>
        </w:tc>
        <w:tc>
          <w:tcPr>
            <w:tcW w:w="3859" w:type="dxa"/>
            <w:gridSpan w:val="2"/>
            <w:tcBorders>
              <w:top w:val="single" w:color="auto" w:sz="4" w:space="0"/>
              <w:left w:val="single" w:color="auto" w:sz="4" w:space="0"/>
              <w:bottom w:val="single" w:color="auto" w:sz="4" w:space="0"/>
              <w:right w:val="single" w:color="auto" w:sz="4" w:space="0"/>
            </w:tcBorders>
            <w:vAlign w:val="center"/>
          </w:tcPr>
          <w:p w14:paraId="4EAD50BE">
            <w:pPr>
              <w:ind w:left="141" w:leftChars="67" w:right="48" w:rightChars="23"/>
              <w:jc w:val="center"/>
              <w:rPr>
                <w:rFonts w:ascii="宋体" w:hAnsi="宋体"/>
                <w:color w:val="000000"/>
                <w:szCs w:val="21"/>
              </w:rPr>
            </w:pPr>
          </w:p>
        </w:tc>
        <w:tc>
          <w:tcPr>
            <w:tcW w:w="1315" w:type="dxa"/>
            <w:tcBorders>
              <w:top w:val="single" w:color="auto" w:sz="4" w:space="0"/>
              <w:left w:val="single" w:color="auto" w:sz="4" w:space="0"/>
              <w:bottom w:val="single" w:color="auto" w:sz="4" w:space="0"/>
              <w:right w:val="single" w:color="auto" w:sz="4" w:space="0"/>
            </w:tcBorders>
            <w:vAlign w:val="center"/>
          </w:tcPr>
          <w:p w14:paraId="628BF08E">
            <w:pPr>
              <w:jc w:val="center"/>
              <w:rPr>
                <w:rFonts w:ascii="宋体" w:hAnsi="宋体"/>
                <w:color w:val="000000"/>
                <w:szCs w:val="21"/>
              </w:rPr>
            </w:pPr>
          </w:p>
        </w:tc>
        <w:tc>
          <w:tcPr>
            <w:tcW w:w="2651" w:type="dxa"/>
            <w:tcBorders>
              <w:top w:val="single" w:color="auto" w:sz="4" w:space="0"/>
              <w:left w:val="single" w:color="auto" w:sz="4" w:space="0"/>
              <w:bottom w:val="single" w:color="auto" w:sz="4" w:space="0"/>
              <w:right w:val="single" w:color="auto" w:sz="4" w:space="0"/>
            </w:tcBorders>
          </w:tcPr>
          <w:p w14:paraId="7175A6F8">
            <w:pPr>
              <w:jc w:val="right"/>
              <w:rPr>
                <w:rFonts w:ascii="宋体" w:hAnsi="宋体"/>
                <w:color w:val="000000"/>
                <w:szCs w:val="21"/>
              </w:rPr>
            </w:pPr>
          </w:p>
        </w:tc>
      </w:tr>
      <w:tr w14:paraId="27B09BC6">
        <w:trPr>
          <w:cantSplit/>
          <w:trHeight w:val="435" w:hRule="atLeast"/>
        </w:trPr>
        <w:tc>
          <w:tcPr>
            <w:tcW w:w="1800" w:type="dxa"/>
            <w:vMerge w:val="continue"/>
            <w:tcBorders>
              <w:left w:val="single" w:color="auto" w:sz="4" w:space="0"/>
              <w:right w:val="single" w:color="auto" w:sz="4" w:space="0"/>
            </w:tcBorders>
            <w:vAlign w:val="center"/>
          </w:tcPr>
          <w:p w14:paraId="57DBB915">
            <w:pPr>
              <w:ind w:left="141" w:leftChars="67" w:right="48" w:rightChars="23"/>
              <w:jc w:val="center"/>
              <w:rPr>
                <w:rFonts w:ascii="宋体" w:hAnsi="宋体"/>
                <w:color w:val="000000"/>
                <w:szCs w:val="21"/>
              </w:rPr>
            </w:pPr>
          </w:p>
        </w:tc>
        <w:tc>
          <w:tcPr>
            <w:tcW w:w="3859" w:type="dxa"/>
            <w:gridSpan w:val="2"/>
            <w:tcBorders>
              <w:top w:val="single" w:color="auto" w:sz="4" w:space="0"/>
              <w:left w:val="single" w:color="auto" w:sz="4" w:space="0"/>
              <w:bottom w:val="single" w:color="auto" w:sz="4" w:space="0"/>
              <w:right w:val="single" w:color="auto" w:sz="4" w:space="0"/>
            </w:tcBorders>
            <w:vAlign w:val="center"/>
          </w:tcPr>
          <w:p w14:paraId="1EA92640">
            <w:pPr>
              <w:ind w:left="141" w:leftChars="67" w:right="48" w:rightChars="23"/>
              <w:jc w:val="center"/>
              <w:rPr>
                <w:rFonts w:ascii="宋体" w:hAnsi="宋体"/>
                <w:color w:val="000000"/>
                <w:szCs w:val="21"/>
              </w:rPr>
            </w:pPr>
          </w:p>
        </w:tc>
        <w:tc>
          <w:tcPr>
            <w:tcW w:w="1315" w:type="dxa"/>
            <w:tcBorders>
              <w:top w:val="single" w:color="auto" w:sz="4" w:space="0"/>
              <w:left w:val="single" w:color="auto" w:sz="4" w:space="0"/>
              <w:bottom w:val="single" w:color="auto" w:sz="4" w:space="0"/>
              <w:right w:val="single" w:color="auto" w:sz="4" w:space="0"/>
            </w:tcBorders>
            <w:vAlign w:val="center"/>
          </w:tcPr>
          <w:p w14:paraId="4BDCAC3A">
            <w:pPr>
              <w:jc w:val="center"/>
              <w:rPr>
                <w:rFonts w:ascii="宋体" w:hAnsi="宋体"/>
                <w:color w:val="000000"/>
                <w:szCs w:val="21"/>
              </w:rPr>
            </w:pPr>
          </w:p>
        </w:tc>
        <w:tc>
          <w:tcPr>
            <w:tcW w:w="2651" w:type="dxa"/>
            <w:tcBorders>
              <w:top w:val="single" w:color="auto" w:sz="4" w:space="0"/>
              <w:left w:val="single" w:color="auto" w:sz="4" w:space="0"/>
              <w:bottom w:val="single" w:color="auto" w:sz="4" w:space="0"/>
              <w:right w:val="single" w:color="auto" w:sz="4" w:space="0"/>
            </w:tcBorders>
          </w:tcPr>
          <w:p w14:paraId="68253D35">
            <w:pPr>
              <w:jc w:val="right"/>
              <w:rPr>
                <w:rFonts w:ascii="宋体" w:hAnsi="宋体"/>
                <w:color w:val="000000"/>
                <w:szCs w:val="21"/>
              </w:rPr>
            </w:pPr>
          </w:p>
        </w:tc>
      </w:tr>
      <w:tr w14:paraId="16B65F96">
        <w:trPr>
          <w:cantSplit/>
          <w:trHeight w:val="1776" w:hRule="atLeast"/>
        </w:trPr>
        <w:tc>
          <w:tcPr>
            <w:tcW w:w="1806" w:type="dxa"/>
            <w:gridSpan w:val="2"/>
            <w:tcBorders>
              <w:top w:val="single" w:color="auto" w:sz="4" w:space="0"/>
              <w:left w:val="single" w:color="auto" w:sz="4" w:space="0"/>
              <w:bottom w:val="single" w:color="auto" w:sz="4" w:space="0"/>
              <w:right w:val="single" w:color="auto" w:sz="4" w:space="0"/>
            </w:tcBorders>
            <w:vAlign w:val="center"/>
          </w:tcPr>
          <w:p w14:paraId="5B678C5E">
            <w:pPr>
              <w:ind w:left="141" w:leftChars="67" w:right="48" w:rightChars="23"/>
              <w:rPr>
                <w:rFonts w:ascii="宋体" w:hAnsi="宋体"/>
                <w:color w:val="000000"/>
                <w:szCs w:val="21"/>
              </w:rPr>
            </w:pPr>
            <w:r>
              <w:rPr>
                <w:rFonts w:ascii="宋体" w:hAnsi="宋体"/>
                <w:color w:val="000000"/>
                <w:szCs w:val="21"/>
              </w:rPr>
              <w:t>5.2</w:t>
            </w:r>
            <w:r>
              <w:rPr>
                <w:rFonts w:hint="eastAsia" w:ascii="宋体" w:hAnsi="宋体"/>
                <w:color w:val="000000"/>
                <w:szCs w:val="21"/>
              </w:rPr>
              <w:t>试验、</w:t>
            </w:r>
            <w:r>
              <w:rPr>
                <w:rFonts w:ascii="宋体" w:hAnsi="宋体"/>
                <w:color w:val="000000"/>
                <w:szCs w:val="21"/>
              </w:rPr>
              <w:t xml:space="preserve"> 验证</w:t>
            </w:r>
            <w:r>
              <w:rPr>
                <w:rFonts w:hint="eastAsia" w:ascii="宋体" w:hAnsi="宋体"/>
                <w:color w:val="000000"/>
                <w:szCs w:val="21"/>
              </w:rPr>
              <w:t>、试行</w:t>
            </w:r>
            <w:r>
              <w:rPr>
                <w:rFonts w:ascii="宋体" w:hAnsi="宋体"/>
                <w:color w:val="000000"/>
                <w:szCs w:val="21"/>
              </w:rPr>
              <w:t>过程</w:t>
            </w:r>
          </w:p>
        </w:tc>
        <w:tc>
          <w:tcPr>
            <w:tcW w:w="7819" w:type="dxa"/>
            <w:gridSpan w:val="3"/>
            <w:tcBorders>
              <w:top w:val="single" w:color="auto" w:sz="4" w:space="0"/>
              <w:left w:val="single" w:color="auto" w:sz="4" w:space="0"/>
              <w:bottom w:val="single" w:color="auto" w:sz="4" w:space="0"/>
              <w:right w:val="single" w:color="auto" w:sz="4" w:space="0"/>
            </w:tcBorders>
            <w:vAlign w:val="center"/>
          </w:tcPr>
          <w:p w14:paraId="7BAD22FD">
            <w:pPr>
              <w:rPr>
                <w:rFonts w:ascii="宋体" w:hAnsi="宋体"/>
                <w:color w:val="000000"/>
                <w:szCs w:val="21"/>
              </w:rPr>
            </w:pPr>
          </w:p>
        </w:tc>
      </w:tr>
      <w:tr w14:paraId="605B2FD0">
        <w:trPr>
          <w:cantSplit/>
          <w:trHeight w:val="1698" w:hRule="atLeast"/>
        </w:trPr>
        <w:tc>
          <w:tcPr>
            <w:tcW w:w="1806" w:type="dxa"/>
            <w:gridSpan w:val="2"/>
            <w:tcBorders>
              <w:top w:val="single" w:color="auto" w:sz="4" w:space="0"/>
              <w:left w:val="single" w:color="auto" w:sz="4" w:space="0"/>
              <w:bottom w:val="single" w:color="auto" w:sz="4" w:space="0"/>
              <w:right w:val="single" w:color="auto" w:sz="4" w:space="0"/>
            </w:tcBorders>
            <w:vAlign w:val="center"/>
          </w:tcPr>
          <w:p w14:paraId="016C111D">
            <w:pPr>
              <w:ind w:left="141" w:leftChars="67" w:right="48" w:rightChars="23"/>
              <w:rPr>
                <w:rFonts w:ascii="宋体" w:hAnsi="宋体"/>
                <w:color w:val="000000"/>
                <w:szCs w:val="21"/>
              </w:rPr>
            </w:pPr>
            <w:r>
              <w:rPr>
                <w:rFonts w:ascii="宋体" w:hAnsi="宋体"/>
                <w:color w:val="000000"/>
                <w:szCs w:val="21"/>
              </w:rPr>
              <w:t>5.3 验证数据分析</w:t>
            </w:r>
          </w:p>
        </w:tc>
        <w:tc>
          <w:tcPr>
            <w:tcW w:w="7819" w:type="dxa"/>
            <w:gridSpan w:val="3"/>
            <w:tcBorders>
              <w:top w:val="single" w:color="auto" w:sz="4" w:space="0"/>
              <w:left w:val="single" w:color="auto" w:sz="4" w:space="0"/>
              <w:bottom w:val="single" w:color="auto" w:sz="4" w:space="0"/>
              <w:right w:val="single" w:color="auto" w:sz="4" w:space="0"/>
            </w:tcBorders>
            <w:vAlign w:val="center"/>
          </w:tcPr>
          <w:p w14:paraId="35EB7392">
            <w:pPr>
              <w:rPr>
                <w:rFonts w:ascii="宋体" w:hAnsi="宋体"/>
                <w:color w:val="000000"/>
                <w:szCs w:val="21"/>
              </w:rPr>
            </w:pPr>
          </w:p>
        </w:tc>
      </w:tr>
      <w:tr w14:paraId="740C62BA">
        <w:trPr>
          <w:cantSplit/>
          <w:trHeight w:val="2505" w:hRule="atLeast"/>
        </w:trPr>
        <w:tc>
          <w:tcPr>
            <w:tcW w:w="1806" w:type="dxa"/>
            <w:gridSpan w:val="2"/>
            <w:tcBorders>
              <w:top w:val="single" w:color="auto" w:sz="4" w:space="0"/>
              <w:left w:val="single" w:color="auto" w:sz="4" w:space="0"/>
              <w:bottom w:val="single" w:color="auto" w:sz="4" w:space="0"/>
              <w:right w:val="single" w:color="auto" w:sz="4" w:space="0"/>
            </w:tcBorders>
            <w:vAlign w:val="center"/>
          </w:tcPr>
          <w:p w14:paraId="09FCA36B">
            <w:pPr>
              <w:ind w:left="141" w:leftChars="67" w:right="48" w:rightChars="23"/>
              <w:rPr>
                <w:rFonts w:ascii="宋体" w:hAnsi="宋体"/>
                <w:color w:val="000000"/>
                <w:szCs w:val="21"/>
              </w:rPr>
            </w:pPr>
            <w:r>
              <w:rPr>
                <w:rFonts w:ascii="宋体" w:hAnsi="宋体"/>
                <w:color w:val="000000"/>
                <w:szCs w:val="21"/>
              </w:rPr>
              <w:t xml:space="preserve">5.4 </w:t>
            </w:r>
            <w:r>
              <w:rPr>
                <w:rFonts w:hint="eastAsia" w:ascii="宋体" w:hAnsi="宋体"/>
                <w:color w:val="000000"/>
                <w:szCs w:val="21"/>
              </w:rPr>
              <w:t>试验、</w:t>
            </w:r>
            <w:r>
              <w:rPr>
                <w:rFonts w:ascii="宋体" w:hAnsi="宋体"/>
                <w:color w:val="000000"/>
                <w:szCs w:val="21"/>
              </w:rPr>
              <w:t>验证</w:t>
            </w:r>
            <w:r>
              <w:rPr>
                <w:rFonts w:hint="eastAsia" w:ascii="宋体" w:hAnsi="宋体"/>
                <w:color w:val="000000"/>
                <w:szCs w:val="21"/>
              </w:rPr>
              <w:t>、试行</w:t>
            </w:r>
            <w:r>
              <w:rPr>
                <w:rFonts w:ascii="宋体" w:hAnsi="宋体"/>
                <w:color w:val="000000"/>
                <w:szCs w:val="21"/>
              </w:rPr>
              <w:t>评价</w:t>
            </w:r>
          </w:p>
        </w:tc>
        <w:tc>
          <w:tcPr>
            <w:tcW w:w="7819" w:type="dxa"/>
            <w:gridSpan w:val="3"/>
            <w:tcBorders>
              <w:top w:val="single" w:color="auto" w:sz="4" w:space="0"/>
              <w:left w:val="single" w:color="auto" w:sz="4" w:space="0"/>
              <w:bottom w:val="single" w:color="auto" w:sz="4" w:space="0"/>
              <w:right w:val="single" w:color="auto" w:sz="4" w:space="0"/>
            </w:tcBorders>
            <w:vAlign w:val="center"/>
          </w:tcPr>
          <w:p w14:paraId="266FE5E5">
            <w:pPr>
              <w:rPr>
                <w:rFonts w:ascii="宋体" w:hAnsi="宋体"/>
                <w:color w:val="000000"/>
                <w:szCs w:val="21"/>
              </w:rPr>
            </w:pPr>
          </w:p>
        </w:tc>
      </w:tr>
      <w:tr w14:paraId="0C7AC8D5">
        <w:trPr>
          <w:cantSplit/>
          <w:trHeight w:val="2026" w:hRule="atLeast"/>
        </w:trPr>
        <w:tc>
          <w:tcPr>
            <w:tcW w:w="1806" w:type="dxa"/>
            <w:gridSpan w:val="2"/>
            <w:tcBorders>
              <w:top w:val="single" w:color="auto" w:sz="4" w:space="0"/>
              <w:left w:val="single" w:color="auto" w:sz="4" w:space="0"/>
              <w:bottom w:val="single" w:color="auto" w:sz="4" w:space="0"/>
              <w:right w:val="single" w:color="auto" w:sz="4" w:space="0"/>
            </w:tcBorders>
            <w:vAlign w:val="center"/>
          </w:tcPr>
          <w:p w14:paraId="6ED0FE28">
            <w:pPr>
              <w:ind w:left="141" w:leftChars="67" w:right="48" w:rightChars="23"/>
              <w:rPr>
                <w:rFonts w:ascii="宋体" w:hAnsi="宋体"/>
                <w:color w:val="000000"/>
                <w:szCs w:val="21"/>
              </w:rPr>
            </w:pPr>
            <w:r>
              <w:rPr>
                <w:rFonts w:ascii="宋体" w:hAnsi="宋体"/>
                <w:color w:val="000000"/>
                <w:szCs w:val="21"/>
              </w:rPr>
              <w:t>5.5 其他应说明的情况</w:t>
            </w:r>
          </w:p>
        </w:tc>
        <w:tc>
          <w:tcPr>
            <w:tcW w:w="7819" w:type="dxa"/>
            <w:gridSpan w:val="3"/>
            <w:tcBorders>
              <w:top w:val="single" w:color="auto" w:sz="4" w:space="0"/>
              <w:left w:val="single" w:color="auto" w:sz="4" w:space="0"/>
              <w:bottom w:val="single" w:color="auto" w:sz="4" w:space="0"/>
              <w:right w:val="single" w:color="auto" w:sz="4" w:space="0"/>
            </w:tcBorders>
            <w:vAlign w:val="center"/>
          </w:tcPr>
          <w:p w14:paraId="50929168">
            <w:pPr>
              <w:rPr>
                <w:rFonts w:ascii="宋体" w:hAnsi="宋体"/>
                <w:color w:val="000000"/>
                <w:szCs w:val="21"/>
              </w:rPr>
            </w:pPr>
            <w:r>
              <w:rPr>
                <w:rFonts w:hint="eastAsia" w:ascii="宋体" w:hAnsi="宋体"/>
                <w:color w:val="000000"/>
                <w:szCs w:val="21"/>
              </w:rPr>
              <w:t>/</w:t>
            </w:r>
          </w:p>
        </w:tc>
      </w:tr>
    </w:tbl>
    <w:p w14:paraId="0093B99E">
      <w:pPr>
        <w:rPr>
          <w:rFonts w:eastAsia="仿宋_GB2312"/>
          <w:b/>
          <w:color w:val="000000"/>
          <w:kern w:val="0"/>
          <w:sz w:val="32"/>
        </w:rPr>
      </w:pPr>
    </w:p>
    <w:p w14:paraId="1C182316">
      <w:pPr>
        <w:rPr>
          <w:rFonts w:eastAsia="仿宋_GB2312"/>
          <w:b/>
          <w:color w:val="000000"/>
          <w:kern w:val="0"/>
          <w:sz w:val="32"/>
        </w:rPr>
      </w:pPr>
    </w:p>
    <w:p w14:paraId="55222445">
      <w:pPr>
        <w:rPr>
          <w:rFonts w:eastAsia="仿宋_GB2312"/>
          <w:b/>
          <w:color w:val="000000"/>
          <w:kern w:val="0"/>
          <w:sz w:val="32"/>
        </w:rPr>
      </w:pPr>
    </w:p>
    <w:p w14:paraId="569A3755">
      <w:r>
        <w:br w:type="page"/>
      </w:r>
    </w:p>
    <w:tbl>
      <w:tblPr>
        <w:tblStyle w:val="38"/>
        <w:tblpPr w:leftFromText="180" w:rightFromText="180" w:vertAnchor="text" w:horzAnchor="margin" w:tblpXSpec="center" w:tblpY="169"/>
        <w:tblW w:w="962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794"/>
        <w:gridCol w:w="6"/>
        <w:gridCol w:w="1288"/>
        <w:gridCol w:w="1080"/>
        <w:gridCol w:w="1620"/>
        <w:gridCol w:w="1440"/>
        <w:gridCol w:w="2397"/>
      </w:tblGrid>
      <w:tr w14:paraId="4DD73223">
        <w:trPr>
          <w:cantSplit/>
          <w:trHeight w:val="458" w:hRule="atLeast"/>
        </w:trPr>
        <w:tc>
          <w:tcPr>
            <w:tcW w:w="9625" w:type="dxa"/>
            <w:gridSpan w:val="7"/>
            <w:tcBorders>
              <w:top w:val="nil"/>
              <w:left w:val="nil"/>
              <w:bottom w:val="nil"/>
              <w:right w:val="nil"/>
            </w:tcBorders>
            <w:vAlign w:val="center"/>
          </w:tcPr>
          <w:p w14:paraId="5296B28D">
            <w:pPr>
              <w:rPr>
                <w:rFonts w:ascii="宋体" w:hAnsi="宋体"/>
                <w:b/>
                <w:color w:val="000000"/>
                <w:szCs w:val="21"/>
              </w:rPr>
            </w:pPr>
            <w:r>
              <w:rPr>
                <w:rFonts w:hint="eastAsia" w:ascii="宋体" w:hAnsi="宋体"/>
                <w:b/>
                <w:color w:val="000000"/>
                <w:szCs w:val="21"/>
              </w:rPr>
              <w:t>6  附加说明（可选项）</w:t>
            </w:r>
          </w:p>
        </w:tc>
      </w:tr>
      <w:tr w14:paraId="2E574598">
        <w:trPr>
          <w:cantSplit/>
          <w:trHeight w:val="1701" w:hRule="atLeast"/>
        </w:trPr>
        <w:tc>
          <w:tcPr>
            <w:tcW w:w="1794" w:type="dxa"/>
            <w:tcBorders>
              <w:top w:val="single" w:color="auto" w:sz="4" w:space="0"/>
              <w:left w:val="single" w:color="auto" w:sz="4" w:space="0"/>
              <w:bottom w:val="single" w:color="auto" w:sz="4" w:space="0"/>
              <w:right w:val="single" w:color="auto" w:sz="4" w:space="0"/>
            </w:tcBorders>
            <w:vAlign w:val="center"/>
          </w:tcPr>
          <w:p w14:paraId="3487DA3E">
            <w:pPr>
              <w:ind w:left="141" w:leftChars="67" w:right="176" w:rightChars="84"/>
              <w:rPr>
                <w:rFonts w:ascii="宋体" w:hAnsi="宋体"/>
                <w:color w:val="000000"/>
                <w:szCs w:val="21"/>
              </w:rPr>
            </w:pPr>
            <w:r>
              <w:rPr>
                <w:rFonts w:ascii="宋体" w:hAnsi="宋体"/>
                <w:color w:val="000000"/>
                <w:szCs w:val="21"/>
              </w:rPr>
              <w:t>6.1 宣贯标准的建议</w:t>
            </w:r>
          </w:p>
        </w:tc>
        <w:tc>
          <w:tcPr>
            <w:tcW w:w="7831" w:type="dxa"/>
            <w:gridSpan w:val="6"/>
            <w:tcBorders>
              <w:top w:val="single" w:color="auto" w:sz="4" w:space="0"/>
              <w:left w:val="single" w:color="auto" w:sz="4" w:space="0"/>
              <w:bottom w:val="single" w:color="auto" w:sz="4" w:space="0"/>
              <w:right w:val="single" w:color="auto" w:sz="4" w:space="0"/>
            </w:tcBorders>
            <w:vAlign w:val="center"/>
          </w:tcPr>
          <w:p w14:paraId="4D5FC0AE">
            <w:pPr>
              <w:rPr>
                <w:rFonts w:ascii="宋体" w:hAnsi="宋体"/>
                <w:color w:val="000000"/>
                <w:szCs w:val="21"/>
              </w:rPr>
            </w:pPr>
            <w:r>
              <w:rPr>
                <w:rFonts w:hint="eastAsia" w:ascii="宋体" w:hAnsi="宋体"/>
                <w:color w:val="000000"/>
                <w:szCs w:val="21"/>
              </w:rPr>
              <w:t>/</w:t>
            </w:r>
          </w:p>
        </w:tc>
      </w:tr>
      <w:tr w14:paraId="757EB1CB">
        <w:trPr>
          <w:cantSplit/>
          <w:trHeight w:val="1838" w:hRule="atLeast"/>
        </w:trPr>
        <w:tc>
          <w:tcPr>
            <w:tcW w:w="1794" w:type="dxa"/>
            <w:tcBorders>
              <w:top w:val="single" w:color="auto" w:sz="4" w:space="0"/>
              <w:left w:val="single" w:color="auto" w:sz="4" w:space="0"/>
              <w:bottom w:val="single" w:color="auto" w:sz="4" w:space="0"/>
              <w:right w:val="single" w:color="auto" w:sz="4" w:space="0"/>
            </w:tcBorders>
            <w:vAlign w:val="center"/>
          </w:tcPr>
          <w:p w14:paraId="3B5F1609">
            <w:pPr>
              <w:ind w:left="141" w:leftChars="67" w:right="176" w:rightChars="84"/>
              <w:rPr>
                <w:rFonts w:ascii="宋体" w:hAnsi="宋体"/>
                <w:color w:val="000000"/>
                <w:szCs w:val="21"/>
              </w:rPr>
            </w:pPr>
            <w:r>
              <w:rPr>
                <w:rFonts w:ascii="宋体" w:hAnsi="宋体"/>
                <w:color w:val="000000"/>
                <w:szCs w:val="21"/>
              </w:rPr>
              <w:t>6.2 修订和废除现行有关标准的建议</w:t>
            </w:r>
          </w:p>
        </w:tc>
        <w:tc>
          <w:tcPr>
            <w:tcW w:w="7831" w:type="dxa"/>
            <w:gridSpan w:val="6"/>
            <w:tcBorders>
              <w:top w:val="single" w:color="auto" w:sz="4" w:space="0"/>
              <w:left w:val="single" w:color="auto" w:sz="4" w:space="0"/>
              <w:bottom w:val="single" w:color="auto" w:sz="4" w:space="0"/>
              <w:right w:val="single" w:color="auto" w:sz="4" w:space="0"/>
            </w:tcBorders>
            <w:vAlign w:val="center"/>
          </w:tcPr>
          <w:p w14:paraId="63BBFB4C">
            <w:pPr>
              <w:rPr>
                <w:rFonts w:ascii="宋体" w:hAnsi="宋体"/>
                <w:color w:val="000000"/>
                <w:szCs w:val="21"/>
              </w:rPr>
            </w:pPr>
            <w:r>
              <w:rPr>
                <w:rFonts w:hint="eastAsia" w:ascii="宋体" w:hAnsi="宋体"/>
                <w:color w:val="000000"/>
                <w:szCs w:val="21"/>
              </w:rPr>
              <w:t>/</w:t>
            </w:r>
          </w:p>
        </w:tc>
      </w:tr>
      <w:tr w14:paraId="208B6962">
        <w:trPr>
          <w:cantSplit/>
          <w:trHeight w:val="1734" w:hRule="atLeast"/>
        </w:trPr>
        <w:tc>
          <w:tcPr>
            <w:tcW w:w="1794" w:type="dxa"/>
            <w:tcBorders>
              <w:top w:val="single" w:color="auto" w:sz="4" w:space="0"/>
              <w:left w:val="single" w:color="auto" w:sz="4" w:space="0"/>
              <w:bottom w:val="single" w:color="auto" w:sz="4" w:space="0"/>
              <w:right w:val="single" w:color="auto" w:sz="4" w:space="0"/>
            </w:tcBorders>
            <w:vAlign w:val="center"/>
          </w:tcPr>
          <w:p w14:paraId="3CECB1F5">
            <w:pPr>
              <w:ind w:left="141" w:leftChars="67" w:right="176" w:rightChars="84"/>
              <w:rPr>
                <w:rFonts w:ascii="宋体" w:hAnsi="宋体"/>
                <w:color w:val="000000"/>
                <w:szCs w:val="21"/>
              </w:rPr>
            </w:pPr>
            <w:r>
              <w:rPr>
                <w:rFonts w:ascii="宋体" w:hAnsi="宋体"/>
                <w:color w:val="000000"/>
                <w:szCs w:val="21"/>
              </w:rPr>
              <w:t>6.</w:t>
            </w:r>
            <w:r>
              <w:rPr>
                <w:rFonts w:hint="eastAsia" w:ascii="宋体" w:hAnsi="宋体"/>
                <w:color w:val="000000"/>
                <w:szCs w:val="21"/>
              </w:rPr>
              <w:t>3重大分歧意见的处理经过和依据</w:t>
            </w:r>
          </w:p>
        </w:tc>
        <w:tc>
          <w:tcPr>
            <w:tcW w:w="7831" w:type="dxa"/>
            <w:gridSpan w:val="6"/>
            <w:tcBorders>
              <w:top w:val="single" w:color="auto" w:sz="4" w:space="0"/>
              <w:left w:val="single" w:color="auto" w:sz="4" w:space="0"/>
              <w:bottom w:val="single" w:color="auto" w:sz="4" w:space="0"/>
              <w:right w:val="single" w:color="auto" w:sz="4" w:space="0"/>
            </w:tcBorders>
            <w:vAlign w:val="center"/>
          </w:tcPr>
          <w:p w14:paraId="70E3B604">
            <w:pPr>
              <w:rPr>
                <w:rFonts w:ascii="宋体" w:hAnsi="宋体"/>
                <w:color w:val="000000"/>
                <w:szCs w:val="21"/>
              </w:rPr>
            </w:pPr>
            <w:r>
              <w:rPr>
                <w:rFonts w:hint="eastAsia" w:ascii="宋体" w:hAnsi="宋体"/>
                <w:color w:val="000000"/>
                <w:szCs w:val="21"/>
              </w:rPr>
              <w:t>/</w:t>
            </w:r>
          </w:p>
        </w:tc>
      </w:tr>
      <w:tr w14:paraId="45936CB2">
        <w:trPr>
          <w:cantSplit/>
          <w:trHeight w:val="1670" w:hRule="atLeast"/>
        </w:trPr>
        <w:tc>
          <w:tcPr>
            <w:tcW w:w="1794" w:type="dxa"/>
            <w:tcBorders>
              <w:top w:val="single" w:color="auto" w:sz="4" w:space="0"/>
              <w:left w:val="single" w:color="auto" w:sz="4" w:space="0"/>
              <w:bottom w:val="single" w:color="auto" w:sz="4" w:space="0"/>
              <w:right w:val="single" w:color="auto" w:sz="4" w:space="0"/>
            </w:tcBorders>
            <w:vAlign w:val="center"/>
          </w:tcPr>
          <w:p w14:paraId="743287E2">
            <w:pPr>
              <w:ind w:left="141" w:leftChars="67" w:right="176" w:rightChars="84"/>
              <w:rPr>
                <w:rFonts w:ascii="宋体" w:hAnsi="宋体"/>
                <w:color w:val="000000"/>
                <w:szCs w:val="21"/>
              </w:rPr>
            </w:pPr>
            <w:r>
              <w:rPr>
                <w:rFonts w:ascii="宋体" w:hAnsi="宋体"/>
                <w:color w:val="000000"/>
                <w:szCs w:val="21"/>
              </w:rPr>
              <w:t>6.4 其他需要说明的情况</w:t>
            </w:r>
          </w:p>
        </w:tc>
        <w:tc>
          <w:tcPr>
            <w:tcW w:w="7831" w:type="dxa"/>
            <w:gridSpan w:val="6"/>
            <w:tcBorders>
              <w:top w:val="single" w:color="auto" w:sz="4" w:space="0"/>
              <w:left w:val="single" w:color="auto" w:sz="4" w:space="0"/>
              <w:bottom w:val="single" w:color="auto" w:sz="4" w:space="0"/>
              <w:right w:val="single" w:color="auto" w:sz="4" w:space="0"/>
            </w:tcBorders>
            <w:vAlign w:val="center"/>
          </w:tcPr>
          <w:p w14:paraId="6B819719">
            <w:pPr>
              <w:rPr>
                <w:rFonts w:ascii="宋体" w:hAnsi="宋体"/>
                <w:color w:val="000000"/>
                <w:szCs w:val="21"/>
              </w:rPr>
            </w:pPr>
            <w:r>
              <w:rPr>
                <w:rFonts w:hint="eastAsia" w:ascii="宋体" w:hAnsi="宋体"/>
                <w:color w:val="000000"/>
                <w:szCs w:val="21"/>
              </w:rPr>
              <w:t>/</w:t>
            </w:r>
          </w:p>
        </w:tc>
      </w:tr>
      <w:tr w14:paraId="6DECC8C8">
        <w:trPr>
          <w:cantSplit/>
          <w:trHeight w:val="1721" w:hRule="atLeast"/>
        </w:trPr>
        <w:tc>
          <w:tcPr>
            <w:tcW w:w="1794" w:type="dxa"/>
            <w:tcBorders>
              <w:top w:val="single" w:color="auto" w:sz="4" w:space="0"/>
              <w:left w:val="single" w:color="auto" w:sz="4" w:space="0"/>
              <w:bottom w:val="single" w:color="auto" w:sz="4" w:space="0"/>
              <w:right w:val="single" w:color="auto" w:sz="4" w:space="0"/>
            </w:tcBorders>
            <w:vAlign w:val="center"/>
          </w:tcPr>
          <w:p w14:paraId="2ABDF9D1">
            <w:pPr>
              <w:ind w:left="141" w:leftChars="67" w:right="176" w:rightChars="84"/>
              <w:rPr>
                <w:rFonts w:ascii="宋体" w:hAnsi="宋体"/>
                <w:color w:val="000000"/>
                <w:szCs w:val="21"/>
              </w:rPr>
            </w:pPr>
            <w:r>
              <w:rPr>
                <w:rFonts w:ascii="宋体" w:hAnsi="宋体"/>
                <w:color w:val="000000"/>
                <w:szCs w:val="21"/>
              </w:rPr>
              <w:t>6.5 参考文献</w:t>
            </w:r>
          </w:p>
        </w:tc>
        <w:tc>
          <w:tcPr>
            <w:tcW w:w="7831" w:type="dxa"/>
            <w:gridSpan w:val="6"/>
            <w:tcBorders>
              <w:top w:val="single" w:color="auto" w:sz="4" w:space="0"/>
              <w:left w:val="single" w:color="auto" w:sz="4" w:space="0"/>
              <w:bottom w:val="single" w:color="auto" w:sz="4" w:space="0"/>
              <w:right w:val="single" w:color="auto" w:sz="4" w:space="0"/>
            </w:tcBorders>
            <w:vAlign w:val="center"/>
          </w:tcPr>
          <w:p w14:paraId="0F173246">
            <w:pPr>
              <w:rPr>
                <w:rFonts w:ascii="宋体" w:hAnsi="宋体"/>
                <w:color w:val="000000"/>
                <w:szCs w:val="21"/>
              </w:rPr>
            </w:pPr>
            <w:r>
              <w:rPr>
                <w:rFonts w:hint="eastAsia" w:ascii="宋体" w:hAnsi="宋体"/>
                <w:color w:val="000000"/>
                <w:szCs w:val="21"/>
              </w:rPr>
              <w:t>/</w:t>
            </w:r>
          </w:p>
        </w:tc>
      </w:tr>
      <w:tr w14:paraId="30ECF48D">
        <w:trPr>
          <w:cantSplit/>
          <w:trHeight w:val="495" w:hRule="atLeast"/>
        </w:trPr>
        <w:tc>
          <w:tcPr>
            <w:tcW w:w="1800" w:type="dxa"/>
            <w:gridSpan w:val="2"/>
            <w:tcBorders>
              <w:top w:val="single" w:color="auto" w:sz="4" w:space="0"/>
              <w:left w:val="single" w:color="auto" w:sz="4" w:space="0"/>
              <w:bottom w:val="single" w:color="auto" w:sz="4" w:space="0"/>
              <w:right w:val="single" w:color="auto" w:sz="4" w:space="0"/>
            </w:tcBorders>
            <w:vAlign w:val="center"/>
          </w:tcPr>
          <w:p w14:paraId="0EA2F4F2">
            <w:pPr>
              <w:jc w:val="center"/>
              <w:rPr>
                <w:rFonts w:ascii="宋体" w:hAnsi="宋体"/>
                <w:color w:val="000000"/>
                <w:szCs w:val="21"/>
              </w:rPr>
            </w:pPr>
            <w:r>
              <w:rPr>
                <w:rFonts w:ascii="宋体" w:hAnsi="宋体"/>
                <w:color w:val="000000"/>
                <w:szCs w:val="21"/>
              </w:rPr>
              <w:t>联系人</w:t>
            </w:r>
          </w:p>
        </w:tc>
        <w:tc>
          <w:tcPr>
            <w:tcW w:w="1288" w:type="dxa"/>
            <w:tcBorders>
              <w:top w:val="single" w:color="auto" w:sz="4" w:space="0"/>
              <w:left w:val="single" w:color="auto" w:sz="4" w:space="0"/>
              <w:bottom w:val="single" w:color="auto" w:sz="4" w:space="0"/>
              <w:right w:val="single" w:color="auto" w:sz="4" w:space="0"/>
            </w:tcBorders>
            <w:vAlign w:val="center"/>
          </w:tcPr>
          <w:p w14:paraId="04ED2777">
            <w:pPr>
              <w:jc w:val="center"/>
              <w:rPr>
                <w:rFonts w:ascii="宋体" w:hAnsi="宋体"/>
                <w:color w:val="000000"/>
                <w:szCs w:val="21"/>
              </w:rPr>
            </w:pPr>
            <w:r>
              <w:rPr>
                <w:rFonts w:hint="eastAsia" w:ascii="宋体" w:hAnsi="宋体"/>
                <w:color w:val="000000"/>
                <w:szCs w:val="21"/>
              </w:rPr>
              <w:t>王凤娇</w:t>
            </w:r>
          </w:p>
        </w:tc>
        <w:tc>
          <w:tcPr>
            <w:tcW w:w="1080" w:type="dxa"/>
            <w:tcBorders>
              <w:top w:val="single" w:color="auto" w:sz="4" w:space="0"/>
              <w:left w:val="single" w:color="auto" w:sz="4" w:space="0"/>
              <w:bottom w:val="single" w:color="auto" w:sz="4" w:space="0"/>
              <w:right w:val="single" w:color="auto" w:sz="4" w:space="0"/>
            </w:tcBorders>
            <w:vAlign w:val="center"/>
          </w:tcPr>
          <w:p w14:paraId="561C7735">
            <w:pPr>
              <w:jc w:val="center"/>
              <w:rPr>
                <w:rFonts w:ascii="宋体" w:hAnsi="宋体"/>
                <w:color w:val="000000"/>
                <w:szCs w:val="21"/>
              </w:rPr>
            </w:pPr>
            <w:r>
              <w:rPr>
                <w:rFonts w:ascii="宋体" w:hAnsi="宋体"/>
                <w:color w:val="000000"/>
                <w:szCs w:val="21"/>
              </w:rPr>
              <w:t>联系电话</w:t>
            </w:r>
          </w:p>
        </w:tc>
        <w:tc>
          <w:tcPr>
            <w:tcW w:w="1620" w:type="dxa"/>
            <w:tcBorders>
              <w:top w:val="single" w:color="auto" w:sz="4" w:space="0"/>
              <w:left w:val="single" w:color="auto" w:sz="4" w:space="0"/>
              <w:bottom w:val="single" w:color="auto" w:sz="4" w:space="0"/>
              <w:right w:val="single" w:color="auto" w:sz="4" w:space="0"/>
            </w:tcBorders>
            <w:vAlign w:val="center"/>
          </w:tcPr>
          <w:p w14:paraId="2E7AFC94">
            <w:pPr>
              <w:jc w:val="center"/>
              <w:rPr>
                <w:rFonts w:ascii="宋体" w:hAnsi="宋体"/>
                <w:color w:val="000000"/>
                <w:szCs w:val="21"/>
              </w:rPr>
            </w:pPr>
            <w:r>
              <w:rPr>
                <w:rFonts w:hint="eastAsia" w:ascii="宋体" w:hAnsi="宋体"/>
                <w:color w:val="000000"/>
                <w:szCs w:val="21"/>
              </w:rPr>
              <w:t>8</w:t>
            </w:r>
            <w:r>
              <w:rPr>
                <w:rFonts w:ascii="宋体" w:hAnsi="宋体"/>
                <w:color w:val="000000"/>
                <w:szCs w:val="21"/>
              </w:rPr>
              <w:t>2262385</w:t>
            </w:r>
          </w:p>
        </w:tc>
        <w:tc>
          <w:tcPr>
            <w:tcW w:w="1440" w:type="dxa"/>
            <w:tcBorders>
              <w:top w:val="single" w:color="auto" w:sz="4" w:space="0"/>
              <w:left w:val="single" w:color="auto" w:sz="4" w:space="0"/>
              <w:bottom w:val="single" w:color="auto" w:sz="4" w:space="0"/>
              <w:right w:val="single" w:color="auto" w:sz="4" w:space="0"/>
            </w:tcBorders>
            <w:vAlign w:val="center"/>
          </w:tcPr>
          <w:p w14:paraId="5F1E9155">
            <w:pPr>
              <w:jc w:val="center"/>
              <w:rPr>
                <w:rFonts w:ascii="宋体" w:hAnsi="宋体"/>
                <w:color w:val="000000"/>
                <w:szCs w:val="21"/>
              </w:rPr>
            </w:pPr>
            <w:r>
              <w:rPr>
                <w:rFonts w:ascii="宋体" w:hAnsi="宋体"/>
                <w:color w:val="000000"/>
                <w:szCs w:val="21"/>
              </w:rPr>
              <w:t>电子邮箱</w:t>
            </w:r>
          </w:p>
        </w:tc>
        <w:tc>
          <w:tcPr>
            <w:tcW w:w="2397" w:type="dxa"/>
            <w:tcBorders>
              <w:top w:val="single" w:color="auto" w:sz="4" w:space="0"/>
              <w:left w:val="single" w:color="auto" w:sz="4" w:space="0"/>
              <w:bottom w:val="single" w:color="auto" w:sz="4" w:space="0"/>
              <w:right w:val="single" w:color="auto" w:sz="4" w:space="0"/>
            </w:tcBorders>
            <w:vAlign w:val="center"/>
          </w:tcPr>
          <w:p w14:paraId="619A9D2F">
            <w:pPr>
              <w:jc w:val="center"/>
              <w:rPr>
                <w:rFonts w:ascii="宋体" w:hAnsi="宋体"/>
                <w:color w:val="000000"/>
                <w:szCs w:val="21"/>
              </w:rPr>
            </w:pPr>
            <w:r>
              <w:rPr>
                <w:rFonts w:ascii="宋体" w:hAnsi="宋体"/>
                <w:color w:val="000000"/>
                <w:szCs w:val="21"/>
              </w:rPr>
              <w:t>wangfj@isccc.gov.cn</w:t>
            </w:r>
          </w:p>
        </w:tc>
      </w:tr>
      <w:tr w14:paraId="53BF6CB4">
        <w:trPr>
          <w:cantSplit/>
          <w:trHeight w:val="495" w:hRule="atLeast"/>
        </w:trPr>
        <w:tc>
          <w:tcPr>
            <w:tcW w:w="9625" w:type="dxa"/>
            <w:gridSpan w:val="7"/>
            <w:tcBorders>
              <w:top w:val="single" w:color="auto" w:sz="4" w:space="0"/>
              <w:left w:val="single" w:color="auto" w:sz="4" w:space="0"/>
              <w:bottom w:val="single" w:color="auto" w:sz="4" w:space="0"/>
              <w:right w:val="single" w:color="auto" w:sz="4" w:space="0"/>
            </w:tcBorders>
            <w:vAlign w:val="center"/>
          </w:tcPr>
          <w:p w14:paraId="332E89DD">
            <w:pPr>
              <w:adjustRightInd w:val="0"/>
              <w:spacing w:before="60" w:line="360" w:lineRule="auto"/>
              <w:ind w:firstLine="441" w:firstLineChars="210"/>
              <w:rPr>
                <w:rFonts w:ascii="宋体" w:hAnsi="宋体"/>
                <w:color w:val="000000"/>
                <w:szCs w:val="21"/>
              </w:rPr>
            </w:pPr>
            <w:r>
              <w:rPr>
                <w:rFonts w:ascii="宋体" w:hAnsi="宋体"/>
                <w:color w:val="000000"/>
                <w:szCs w:val="21"/>
              </w:rPr>
              <w:t>注1：本</w:t>
            </w:r>
            <w:r>
              <w:rPr>
                <w:rFonts w:hint="eastAsia" w:ascii="宋体" w:hAnsi="宋体"/>
                <w:color w:val="000000"/>
                <w:szCs w:val="21"/>
              </w:rPr>
              <w:t>格式</w:t>
            </w:r>
            <w:r>
              <w:rPr>
                <w:rFonts w:ascii="宋体" w:hAnsi="宋体"/>
                <w:color w:val="000000"/>
                <w:szCs w:val="21"/>
              </w:rPr>
              <w:t>的</w:t>
            </w:r>
            <w:r>
              <w:rPr>
                <w:rFonts w:hint="eastAsia" w:ascii="宋体" w:hAnsi="宋体"/>
                <w:color w:val="000000"/>
                <w:szCs w:val="21"/>
              </w:rPr>
              <w:t>通用</w:t>
            </w:r>
            <w:r>
              <w:rPr>
                <w:rFonts w:ascii="宋体" w:hAnsi="宋体"/>
                <w:color w:val="000000"/>
                <w:szCs w:val="21"/>
              </w:rPr>
              <w:t>部分为第1章、第2章、第4章和第6章。</w:t>
            </w:r>
          </w:p>
          <w:p w14:paraId="17E2F42E">
            <w:pPr>
              <w:adjustRightInd w:val="0"/>
              <w:spacing w:before="60" w:line="360" w:lineRule="auto"/>
              <w:ind w:firstLine="441" w:firstLineChars="210"/>
              <w:rPr>
                <w:rFonts w:ascii="宋体" w:hAnsi="宋体"/>
                <w:color w:val="000000"/>
                <w:szCs w:val="21"/>
              </w:rPr>
            </w:pPr>
            <w:r>
              <w:rPr>
                <w:rFonts w:ascii="宋体" w:hAnsi="宋体"/>
                <w:color w:val="000000"/>
                <w:szCs w:val="21"/>
              </w:rPr>
              <w:t>注2：3.4适用于标准草案送审稿，3.5适用于标准草案报批稿，3.6中</w:t>
            </w:r>
            <w:r>
              <w:rPr>
                <w:rFonts w:hint="eastAsia" w:ascii="宋体" w:hAnsi="宋体"/>
                <w:color w:val="000000"/>
                <w:szCs w:val="21"/>
              </w:rPr>
              <w:t>“</w:t>
            </w:r>
            <w:r>
              <w:rPr>
                <w:rFonts w:ascii="宋体" w:hAnsi="宋体"/>
                <w:color w:val="000000"/>
                <w:szCs w:val="21"/>
              </w:rPr>
              <w:t>预期的管理目标</w:t>
            </w:r>
            <w:r>
              <w:rPr>
                <w:rFonts w:hint="eastAsia" w:ascii="宋体" w:hAnsi="宋体"/>
                <w:color w:val="000000"/>
                <w:szCs w:val="21"/>
              </w:rPr>
              <w:t>”</w:t>
            </w:r>
            <w:r>
              <w:rPr>
                <w:rFonts w:ascii="宋体" w:hAnsi="宋体"/>
                <w:color w:val="000000"/>
                <w:szCs w:val="21"/>
              </w:rPr>
              <w:t>适用于规程类标准，3.6中</w:t>
            </w:r>
            <w:r>
              <w:rPr>
                <w:rFonts w:hint="eastAsia" w:ascii="宋体" w:hAnsi="宋体"/>
                <w:color w:val="000000"/>
                <w:szCs w:val="21"/>
              </w:rPr>
              <w:t>“</w:t>
            </w:r>
            <w:r>
              <w:rPr>
                <w:rFonts w:ascii="宋体" w:hAnsi="宋体"/>
                <w:color w:val="000000"/>
                <w:szCs w:val="21"/>
              </w:rPr>
              <w:t>技术指标</w:t>
            </w:r>
            <w:r>
              <w:rPr>
                <w:rFonts w:hint="eastAsia" w:ascii="宋体" w:hAnsi="宋体"/>
                <w:color w:val="000000"/>
                <w:szCs w:val="21"/>
              </w:rPr>
              <w:t>”</w:t>
            </w:r>
            <w:r>
              <w:rPr>
                <w:rFonts w:ascii="宋体" w:hAnsi="宋体"/>
                <w:color w:val="000000"/>
                <w:szCs w:val="21"/>
              </w:rPr>
              <w:t>适用于方法类标准，第5章适用于方法类标准编制说明的编写。</w:t>
            </w:r>
          </w:p>
          <w:p w14:paraId="741E3754">
            <w:pPr>
              <w:adjustRightInd w:val="0"/>
              <w:spacing w:before="60" w:line="360" w:lineRule="auto"/>
              <w:ind w:firstLine="441" w:firstLineChars="210"/>
              <w:rPr>
                <w:rFonts w:ascii="宋体" w:hAnsi="宋体"/>
                <w:color w:val="000000"/>
                <w:szCs w:val="21"/>
              </w:rPr>
            </w:pPr>
            <w:r>
              <w:rPr>
                <w:rFonts w:ascii="宋体" w:hAnsi="宋体"/>
                <w:color w:val="000000"/>
                <w:szCs w:val="21"/>
              </w:rPr>
              <w:t>注3：3.1和第6章为可选项，其余为必填项。</w:t>
            </w:r>
          </w:p>
        </w:tc>
      </w:tr>
      <w:tr w14:paraId="6D9979AA">
        <w:trPr>
          <w:cantSplit/>
          <w:trHeight w:val="495" w:hRule="atLeast"/>
        </w:trPr>
        <w:tc>
          <w:tcPr>
            <w:tcW w:w="9625" w:type="dxa"/>
            <w:gridSpan w:val="7"/>
            <w:tcBorders>
              <w:top w:val="single" w:color="auto" w:sz="4" w:space="0"/>
              <w:left w:val="nil"/>
              <w:bottom w:val="nil"/>
              <w:right w:val="nil"/>
            </w:tcBorders>
            <w:vAlign w:val="center"/>
          </w:tcPr>
          <w:p w14:paraId="4B3E5D8D">
            <w:pPr>
              <w:wordWrap w:val="0"/>
              <w:ind w:right="480"/>
              <w:jc w:val="right"/>
              <w:rPr>
                <w:rFonts w:ascii="宋体" w:hAnsi="宋体"/>
                <w:color w:val="000000"/>
                <w:szCs w:val="21"/>
              </w:rPr>
            </w:pPr>
            <w:r>
              <w:rPr>
                <w:rFonts w:ascii="宋体" w:hAnsi="宋体"/>
                <w:color w:val="000000"/>
                <w:szCs w:val="21"/>
              </w:rPr>
              <w:t>编写日期：</w:t>
            </w:r>
            <w:r>
              <w:rPr>
                <w:rFonts w:hint="eastAsia" w:ascii="宋体" w:hAnsi="宋体"/>
                <w:color w:val="000000"/>
                <w:szCs w:val="21"/>
              </w:rPr>
              <w:t>2026</w:t>
            </w:r>
            <w:r>
              <w:rPr>
                <w:rFonts w:ascii="宋体" w:hAnsi="宋体"/>
                <w:color w:val="000000"/>
                <w:szCs w:val="21"/>
              </w:rPr>
              <w:t xml:space="preserve">年 10  月  </w:t>
            </w:r>
            <w:r>
              <w:rPr>
                <w:rFonts w:hint="eastAsia" w:ascii="宋体" w:hAnsi="宋体"/>
                <w:color w:val="000000"/>
                <w:szCs w:val="21"/>
              </w:rPr>
              <w:t>2</w:t>
            </w:r>
            <w:r>
              <w:rPr>
                <w:rFonts w:ascii="宋体" w:hAnsi="宋体"/>
                <w:color w:val="000000"/>
                <w:szCs w:val="21"/>
              </w:rPr>
              <w:t>6  日</w:t>
            </w:r>
          </w:p>
        </w:tc>
      </w:tr>
    </w:tbl>
    <w:p w14:paraId="216BACDF">
      <w:pPr>
        <w:rPr>
          <w:rFonts w:eastAsia="方正仿宋简体"/>
          <w:b/>
          <w:snapToGrid w:val="0"/>
          <w:color w:val="000000"/>
          <w:kern w:val="0"/>
          <w:sz w:val="32"/>
          <w:szCs w:val="32"/>
        </w:rPr>
      </w:pPr>
    </w:p>
    <w:sectPr>
      <w:headerReference r:id="rId3" w:type="default"/>
      <w:footerReference r:id="rId4" w:type="default"/>
      <w:footerReference r:id="rId5" w:type="even"/>
      <w:pgSz w:w="11907" w:h="16840"/>
      <w:pgMar w:top="1758" w:right="1418" w:bottom="1758" w:left="1418" w:header="851" w:footer="1134" w:gutter="0"/>
      <w:pgNumType w:start="1"/>
      <w:cols w:space="720" w:num="1"/>
      <w:titlePg/>
      <w:docGrid w:linePitch="291" w:charSpace="-378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7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Arial">
    <w:panose1 w:val="020B0704020202020204"/>
    <w:charset w:val="00"/>
    <w:family w:val="swiss"/>
    <w:pitch w:val="default"/>
    <w:sig w:usb0="E0002AFF" w:usb1="C0007843" w:usb2="00000009" w:usb3="00000000" w:csb0="400001FF" w:csb1="FFFF0000"/>
  </w:font>
  <w:font w:name="黑体">
    <w:altName w:val="汉仪中黑KW"/>
    <w:panose1 w:val="00000000000000000000"/>
    <w:charset w:val="00"/>
    <w:family w:val="auto"/>
    <w:pitch w:val="default"/>
    <w:sig w:usb0="00000000" w:usb1="00000000" w:usb2="00000000" w:usb3="00000000" w:csb0="00000000" w:csb1="00000000"/>
  </w:font>
  <w:font w:name="Courier New">
    <w:panose1 w:val="02070609020205020404"/>
    <w:charset w:val="00"/>
    <w:family w:val="modern"/>
    <w:pitch w:val="default"/>
    <w:sig w:usb0="E0002AFF" w:usb1="C0007843" w:usb2="00000009" w:usb3="00000000" w:csb0="400001FF" w:csb1="FFFF0000"/>
  </w:font>
  <w:font w:name="ˎ̥">
    <w:altName w:val="苹方-简"/>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1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script"/>
    <w:pitch w:val="default"/>
    <w:sig w:usb0="00000001" w:usb1="08000000" w:usb2="00000000" w:usb3="00000000" w:csb0="00040000" w:csb1="00000000"/>
  </w:font>
  <w:font w:name="方正仿宋简体">
    <w:altName w:val="方正仿宋_GBK"/>
    <w:panose1 w:val="03000509000000000000"/>
    <w:charset w:val="86"/>
    <w:family w:val="script"/>
    <w:pitch w:val="default"/>
    <w:sig w:usb0="00000000" w:usb1="00000000" w:usb2="00000010" w:usb3="00000000" w:csb0="00040000" w:csb1="00000000"/>
  </w:font>
  <w:font w:name="汉仪书宋二KW">
    <w:panose1 w:val="00020600040101010101"/>
    <w:charset w:val="86"/>
    <w:family w:val="auto"/>
    <w:pitch w:val="default"/>
    <w:sig w:usb0="A00002BF" w:usb1="18EF7CFA" w:usb2="00000016" w:usb3="00000000" w:csb0="00040000" w:csb1="00000000"/>
  </w:font>
  <w:font w:name="Arial Unicode MS">
    <w:panose1 w:val="020B0604020202020204"/>
    <w:charset w:val="86"/>
    <w:family w:val="auto"/>
    <w:pitch w:val="default"/>
    <w:sig w:usb0="FFFFFFFF" w:usb1="E9FFFFFF" w:usb2="0000003F" w:usb3="00000000" w:csb0="603F01FF" w:csb1="FFFF0000"/>
  </w:font>
  <w:font w:name="汉仪中黑KW">
    <w:panose1 w:val="00020600040101010101"/>
    <w:charset w:val="86"/>
    <w:family w:val="auto"/>
    <w:pitch w:val="default"/>
    <w:sig w:usb0="A00002BF" w:usb1="18EF7CFA" w:usb2="00000016" w:usb3="00000000" w:csb0="00040000" w:csb1="00000000"/>
  </w:font>
  <w:font w:name="冬青黑体简体中文">
    <w:panose1 w:val="020B0300000000000000"/>
    <w:charset w:val="86"/>
    <w:family w:val="auto"/>
    <w:pitch w:val="default"/>
    <w:sig w:usb0="A00002BF" w:usb1="1ACF7CFA" w:usb2="00000016" w:usb3="00000000" w:csb0="00060007" w:csb1="00000000"/>
  </w:font>
  <w:font w:name="Kingsoft Sign">
    <w:panose1 w:val="05050102010706020507"/>
    <w:charset w:val="00"/>
    <w:family w:val="auto"/>
    <w:pitch w:val="default"/>
    <w:sig w:usb0="00000000" w:usb1="10000000" w:usb2="00000000" w:usb3="00000000" w:csb0="00000001" w:csb1="00000000"/>
  </w:font>
  <w:font w:name="Helvetica Neue">
    <w:panose1 w:val="02000503000000020004"/>
    <w:charset w:val="00"/>
    <w:family w:val="auto"/>
    <w:pitch w:val="default"/>
    <w:sig w:usb0="E50002FF" w:usb1="500079DB" w:usb2="00000010" w:usb3="00000000" w:csb0="00000000" w:csb1="00000000"/>
  </w:font>
  <w:font w:name="苹方-简">
    <w:altName w:val="Times New Roman"/>
    <w:panose1 w:val="020B0600000000000000"/>
    <w:charset w:val="00"/>
    <w:family w:val="auto"/>
    <w:pitch w:val="default"/>
    <w:sig w:usb0="A00002FF" w:usb1="7ACFFDFB" w:usb2="00000017" w:usb3="00000000" w:csb0="00040001" w:csb1="00000000"/>
  </w:font>
  <w:font w:name="方正仿宋_GBK">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6A592C">
    <w:pPr>
      <w:pStyle w:val="29"/>
      <w:jc w:val="center"/>
      <w:rPr>
        <w:sz w:val="24"/>
        <w:szCs w:val="24"/>
      </w:rPr>
    </w:pPr>
    <w:r>
      <w:rPr>
        <w:rFonts w:hint="eastAsia"/>
        <w:sz w:val="24"/>
        <w:szCs w:val="24"/>
      </w:rPr>
      <w:t>-</w:t>
    </w:r>
    <w:r>
      <w:rPr>
        <w:sz w:val="24"/>
        <w:szCs w:val="24"/>
      </w:rPr>
      <w:fldChar w:fldCharType="begin"/>
    </w:r>
    <w:r>
      <w:rPr>
        <w:sz w:val="24"/>
        <w:szCs w:val="24"/>
      </w:rPr>
      <w:instrText xml:space="preserve"> PAGE   \* MERGEFORMAT </w:instrText>
    </w:r>
    <w:r>
      <w:rPr>
        <w:sz w:val="24"/>
        <w:szCs w:val="24"/>
      </w:rPr>
      <w:fldChar w:fldCharType="separate"/>
    </w:r>
    <w:r>
      <w:rPr>
        <w:sz w:val="24"/>
        <w:szCs w:val="24"/>
        <w:lang w:val="zh-CN"/>
      </w:rPr>
      <w:t>2</w:t>
    </w:r>
    <w:r>
      <w:rPr>
        <w:sz w:val="24"/>
        <w:szCs w:val="24"/>
      </w:rPr>
      <w:fldChar w:fldCharType="end"/>
    </w:r>
    <w:r>
      <w:rPr>
        <w:rFonts w:hint="eastAsia"/>
        <w:sz w:val="24"/>
        <w:szCs w:val="24"/>
      </w:rPr>
      <w:t>-</w:t>
    </w:r>
  </w:p>
  <w:p w14:paraId="1E57B1A0">
    <w:pPr>
      <w:pStyle w:val="2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731300">
    <w:pPr>
      <w:pStyle w:val="29"/>
      <w:framePr w:wrap="around" w:vAnchor="text" w:hAnchor="margin" w:xAlign="center" w:y="1"/>
      <w:rPr>
        <w:rStyle w:val="41"/>
      </w:rPr>
    </w:pPr>
    <w:r>
      <w:fldChar w:fldCharType="begin"/>
    </w:r>
    <w:r>
      <w:rPr>
        <w:rStyle w:val="41"/>
      </w:rPr>
      <w:instrText xml:space="preserve">PAGE  </w:instrText>
    </w:r>
    <w:r>
      <w:fldChar w:fldCharType="end"/>
    </w:r>
  </w:p>
  <w:p w14:paraId="39E48409">
    <w:pPr>
      <w:pStyle w:val="79"/>
      <w:ind w:right="360"/>
      <w:rPr>
        <w:rStyle w:val="41"/>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C28529">
    <w:pPr>
      <w:pStyle w:val="3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0A15CD"/>
    <w:multiLevelType w:val="multilevel"/>
    <w:tmpl w:val="040A15CD"/>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pStyle w:val="66"/>
      <w:suff w:val="nothing"/>
      <w:lvlText w:val="%1%2.%3.%4　"/>
      <w:lvlJc w:val="left"/>
      <w:pPr>
        <w:ind w:left="0" w:firstLine="0"/>
      </w:pPr>
      <w:rPr>
        <w:rFonts w:hint="eastAsia" w:ascii="黑体" w:hAnsi="Times New Roman" w:eastAsia="黑体"/>
        <w:b w:val="0"/>
        <w:i w:val="0"/>
        <w:sz w:val="21"/>
      </w:rPr>
    </w:lvl>
    <w:lvl w:ilvl="4" w:tentative="0">
      <w:start w:val="1"/>
      <w:numFmt w:val="decimal"/>
      <w:pStyle w:val="107"/>
      <w:suff w:val="nothing"/>
      <w:lvlText w:val="%1%2.%3.%4.%5　"/>
      <w:lvlJc w:val="left"/>
      <w:pPr>
        <w:ind w:left="0" w:firstLine="0"/>
      </w:pPr>
      <w:rPr>
        <w:rFonts w:hint="eastAsia" w:ascii="黑体" w:hAnsi="Times New Roman" w:eastAsia="黑体"/>
        <w:b w:val="0"/>
        <w:i w:val="0"/>
        <w:sz w:val="21"/>
      </w:rPr>
    </w:lvl>
    <w:lvl w:ilvl="5" w:tentative="0">
      <w:start w:val="1"/>
      <w:numFmt w:val="decimal"/>
      <w:pStyle w:val="110"/>
      <w:suff w:val="nothing"/>
      <w:lvlText w:val="%1%2.%3.%4.%5.%6　"/>
      <w:lvlJc w:val="left"/>
      <w:pPr>
        <w:ind w:left="0" w:firstLine="0"/>
      </w:pPr>
      <w:rPr>
        <w:rFonts w:hint="eastAsia" w:ascii="黑体" w:hAnsi="Times New Roman" w:eastAsia="黑体"/>
        <w:b w:val="0"/>
        <w:i w:val="0"/>
        <w:sz w:val="21"/>
      </w:rPr>
    </w:lvl>
    <w:lvl w:ilvl="6" w:tentative="0">
      <w:start w:val="1"/>
      <w:numFmt w:val="decimal"/>
      <w:pStyle w:val="116"/>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AE367E9"/>
    <w:multiLevelType w:val="multilevel"/>
    <w:tmpl w:val="0AE367E9"/>
    <w:lvl w:ilvl="0" w:tentative="0">
      <w:start w:val="1"/>
      <w:numFmt w:val="none"/>
      <w:pStyle w:val="65"/>
      <w:lvlText w:val="%1示例"/>
      <w:lvlJc w:val="left"/>
      <w:pPr>
        <w:tabs>
          <w:tab w:val="left" w:pos="1120"/>
        </w:tabs>
        <w:ind w:left="0" w:firstLine="400"/>
      </w:pPr>
      <w:rPr>
        <w:rFonts w:hint="eastAsia" w:ascii="宋体"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407E65F9"/>
    <w:multiLevelType w:val="multilevel"/>
    <w:tmpl w:val="407E65F9"/>
    <w:lvl w:ilvl="0" w:tentative="0">
      <w:start w:val="1"/>
      <w:numFmt w:val="none"/>
      <w:pStyle w:val="104"/>
      <w:lvlText w:val="%1·　"/>
      <w:lvlJc w:val="left"/>
      <w:pPr>
        <w:tabs>
          <w:tab w:val="left" w:pos="1140"/>
        </w:tabs>
        <w:ind w:left="737" w:hanging="317"/>
      </w:pPr>
      <w:rPr>
        <w:rFonts w:hint="eastAsia" w:ascii="宋体" w:hAnsi="Times New Roman" w:eastAsia="宋体"/>
        <w:b w:val="0"/>
        <w:i w:val="0"/>
        <w:sz w:val="21"/>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
    <w:nsid w:val="496E4D7B"/>
    <w:multiLevelType w:val="multilevel"/>
    <w:tmpl w:val="496E4D7B"/>
    <w:lvl w:ilvl="0" w:tentative="0">
      <w:start w:val="1"/>
      <w:numFmt w:val="none"/>
      <w:pStyle w:val="121"/>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557C2AF5"/>
    <w:multiLevelType w:val="multilevel"/>
    <w:tmpl w:val="557C2AF5"/>
    <w:lvl w:ilvl="0" w:tentative="0">
      <w:start w:val="1"/>
      <w:numFmt w:val="decimal"/>
      <w:pStyle w:val="119"/>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5">
    <w:nsid w:val="646260FA"/>
    <w:multiLevelType w:val="multilevel"/>
    <w:tmpl w:val="646260FA"/>
    <w:lvl w:ilvl="0" w:tentative="0">
      <w:start w:val="1"/>
      <w:numFmt w:val="decimal"/>
      <w:pStyle w:val="118"/>
      <w:suff w:val="nothing"/>
      <w:lvlText w:val="表%1　"/>
      <w:lvlJc w:val="left"/>
      <w:pPr>
        <w:ind w:left="0" w:firstLine="0"/>
      </w:pPr>
      <w:rPr>
        <w:rFonts w:hint="eastAsia" w:ascii="黑体" w:hAnsi="Times New Roman" w:eastAsia="黑体"/>
        <w:b w:val="0"/>
        <w:i w:val="0"/>
        <w:sz w:val="21"/>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6">
    <w:nsid w:val="657D3FBC"/>
    <w:multiLevelType w:val="multilevel"/>
    <w:tmpl w:val="657D3FBC"/>
    <w:lvl w:ilvl="0" w:tentative="0">
      <w:start w:val="1"/>
      <w:numFmt w:val="upperLetter"/>
      <w:pStyle w:val="100"/>
      <w:suff w:val="nothing"/>
      <w:lvlText w:val="附　录　%1"/>
      <w:lvlJc w:val="left"/>
      <w:pPr>
        <w:ind w:left="0" w:firstLine="0"/>
      </w:pPr>
      <w:rPr>
        <w:rFonts w:hint="eastAsia" w:ascii="黑体" w:hAnsi="Times New Roman" w:eastAsia="黑体"/>
        <w:b w:val="0"/>
        <w:i w:val="0"/>
        <w:sz w:val="21"/>
      </w:rPr>
    </w:lvl>
    <w:lvl w:ilvl="1" w:tentative="0">
      <w:start w:val="1"/>
      <w:numFmt w:val="decimal"/>
      <w:pStyle w:val="75"/>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74"/>
      <w:suff w:val="nothing"/>
      <w:lvlText w:val="%1.%2.%3　"/>
      <w:lvlJc w:val="left"/>
      <w:pPr>
        <w:ind w:left="0" w:firstLine="0"/>
      </w:pPr>
      <w:rPr>
        <w:rFonts w:hint="eastAsia" w:ascii="黑体" w:hAnsi="Times New Roman" w:eastAsia="黑体"/>
        <w:b w:val="0"/>
        <w:i w:val="0"/>
        <w:sz w:val="21"/>
      </w:rPr>
    </w:lvl>
    <w:lvl w:ilvl="3" w:tentative="0">
      <w:start w:val="1"/>
      <w:numFmt w:val="decimal"/>
      <w:pStyle w:val="73"/>
      <w:suff w:val="nothing"/>
      <w:lvlText w:val="%1.%2.%3.%4　"/>
      <w:lvlJc w:val="left"/>
      <w:pPr>
        <w:ind w:left="0" w:firstLine="0"/>
      </w:pPr>
      <w:rPr>
        <w:rFonts w:hint="eastAsia" w:ascii="黑体" w:hAnsi="Times New Roman" w:eastAsia="黑体"/>
        <w:b w:val="0"/>
        <w:i w:val="0"/>
        <w:sz w:val="21"/>
      </w:rPr>
    </w:lvl>
    <w:lvl w:ilvl="4" w:tentative="0">
      <w:start w:val="1"/>
      <w:numFmt w:val="decimal"/>
      <w:pStyle w:val="72"/>
      <w:suff w:val="nothing"/>
      <w:lvlText w:val="%1.%2.%3.%4.%5　"/>
      <w:lvlJc w:val="left"/>
      <w:pPr>
        <w:ind w:left="0" w:firstLine="0"/>
      </w:pPr>
      <w:rPr>
        <w:rFonts w:hint="eastAsia" w:ascii="黑体" w:hAnsi="Times New Roman" w:eastAsia="黑体"/>
        <w:b w:val="0"/>
        <w:i w:val="0"/>
        <w:sz w:val="21"/>
      </w:rPr>
    </w:lvl>
    <w:lvl w:ilvl="5" w:tentative="0">
      <w:start w:val="1"/>
      <w:numFmt w:val="decimal"/>
      <w:pStyle w:val="71"/>
      <w:suff w:val="nothing"/>
      <w:lvlText w:val="%1.%2.%3.%4.%5.%6　"/>
      <w:lvlJc w:val="left"/>
      <w:pPr>
        <w:ind w:left="0" w:firstLine="0"/>
      </w:pPr>
      <w:rPr>
        <w:rFonts w:hint="eastAsia" w:ascii="黑体" w:hAnsi="Times New Roman" w:eastAsia="黑体"/>
        <w:b w:val="0"/>
        <w:i w:val="0"/>
        <w:sz w:val="21"/>
      </w:rPr>
    </w:lvl>
    <w:lvl w:ilvl="6" w:tentative="0">
      <w:start w:val="1"/>
      <w:numFmt w:val="decimal"/>
      <w:pStyle w:val="83"/>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7">
    <w:nsid w:val="6CEA2025"/>
    <w:multiLevelType w:val="multilevel"/>
    <w:tmpl w:val="6CEA2025"/>
    <w:lvl w:ilvl="0" w:tentative="0">
      <w:start w:val="1"/>
      <w:numFmt w:val="none"/>
      <w:pStyle w:val="78"/>
      <w:suff w:val="nothing"/>
      <w:lvlText w:val="%1"/>
      <w:lvlJc w:val="left"/>
      <w:pPr>
        <w:ind w:left="0" w:firstLine="0"/>
      </w:pPr>
      <w:rPr>
        <w:rFonts w:hint="default" w:ascii="Times New Roman" w:hAnsi="Times New Roman"/>
        <w:b/>
        <w:i w:val="0"/>
        <w:sz w:val="21"/>
      </w:rPr>
    </w:lvl>
    <w:lvl w:ilvl="1" w:tentative="0">
      <w:start w:val="1"/>
      <w:numFmt w:val="decimal"/>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pStyle w:val="80"/>
      <w:suff w:val="nothing"/>
      <w:lvlText w:val="%1%2.%3.%4.%5　"/>
      <w:lvlJc w:val="left"/>
      <w:pPr>
        <w:ind w:left="0" w:firstLine="0"/>
      </w:pPr>
      <w:rPr>
        <w:rFonts w:hint="eastAsia" w:ascii="黑体" w:hAnsi="Times New Roman" w:eastAsia="黑体"/>
        <w:b w:val="0"/>
        <w:i w:val="0"/>
        <w:sz w:val="21"/>
      </w:rPr>
    </w:lvl>
    <w:lvl w:ilvl="5" w:tentative="0">
      <w:start w:val="1"/>
      <w:numFmt w:val="decimal"/>
      <w:pStyle w:val="109"/>
      <w:suff w:val="nothing"/>
      <w:lvlText w:val="%1%2.%3.%4.%5.%6　"/>
      <w:lvlJc w:val="left"/>
      <w:pPr>
        <w:ind w:left="0" w:firstLine="0"/>
      </w:pPr>
      <w:rPr>
        <w:rFonts w:hint="eastAsia" w:ascii="黑体" w:hAnsi="Times New Roman" w:eastAsia="黑体"/>
        <w:b w:val="0"/>
        <w:i w:val="0"/>
        <w:sz w:val="21"/>
      </w:rPr>
    </w:lvl>
    <w:lvl w:ilvl="6" w:tentative="0">
      <w:start w:val="1"/>
      <w:numFmt w:val="decimal"/>
      <w:pStyle w:val="115"/>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8">
    <w:nsid w:val="6DBF04F4"/>
    <w:multiLevelType w:val="multilevel"/>
    <w:tmpl w:val="6DBF04F4"/>
    <w:lvl w:ilvl="0" w:tentative="0">
      <w:start w:val="1"/>
      <w:numFmt w:val="none"/>
      <w:pStyle w:val="120"/>
      <w:lvlText w:val="%1注："/>
      <w:lvlJc w:val="left"/>
      <w:pPr>
        <w:tabs>
          <w:tab w:val="left" w:pos="1140"/>
        </w:tabs>
        <w:ind w:left="840" w:hanging="42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76933334"/>
    <w:multiLevelType w:val="multilevel"/>
    <w:tmpl w:val="76933334"/>
    <w:lvl w:ilvl="0" w:tentative="0">
      <w:start w:val="1"/>
      <w:numFmt w:val="none"/>
      <w:pStyle w:val="103"/>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0"/>
  </w:num>
  <w:num w:numId="3">
    <w:abstractNumId w:val="6"/>
  </w:num>
  <w:num w:numId="4">
    <w:abstractNumId w:val="7"/>
  </w:num>
  <w:num w:numId="5">
    <w:abstractNumId w:val="9"/>
  </w:num>
  <w:num w:numId="6">
    <w:abstractNumId w:val="2"/>
  </w:num>
  <w:num w:numId="7">
    <w:abstractNumId w:val="5"/>
  </w:num>
  <w:num w:numId="8">
    <w:abstractNumId w:val="4"/>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5"/>
  <w:bordersDoNotSurroundHeader w:val="1"/>
  <w:bordersDoNotSurroundFooter w:val="1"/>
  <w:documentProtection w:enforcement="0"/>
  <w:defaultTabStop w:val="420"/>
  <w:drawingGridHorizontalSpacing w:val="96"/>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600"/>
    <w:rsid w:val="00001AD5"/>
    <w:rsid w:val="00003491"/>
    <w:rsid w:val="000037D2"/>
    <w:rsid w:val="000065A1"/>
    <w:rsid w:val="00012C67"/>
    <w:rsid w:val="00014276"/>
    <w:rsid w:val="00015100"/>
    <w:rsid w:val="00020D33"/>
    <w:rsid w:val="00021C6E"/>
    <w:rsid w:val="00022D05"/>
    <w:rsid w:val="00023A0F"/>
    <w:rsid w:val="00026243"/>
    <w:rsid w:val="0002669E"/>
    <w:rsid w:val="00027415"/>
    <w:rsid w:val="000449B0"/>
    <w:rsid w:val="00045BB1"/>
    <w:rsid w:val="00047546"/>
    <w:rsid w:val="000501FC"/>
    <w:rsid w:val="00052E18"/>
    <w:rsid w:val="000555F5"/>
    <w:rsid w:val="00056034"/>
    <w:rsid w:val="00060C30"/>
    <w:rsid w:val="0006511B"/>
    <w:rsid w:val="00066DF5"/>
    <w:rsid w:val="00067912"/>
    <w:rsid w:val="00072C62"/>
    <w:rsid w:val="00076838"/>
    <w:rsid w:val="00076FE5"/>
    <w:rsid w:val="000913AA"/>
    <w:rsid w:val="00091710"/>
    <w:rsid w:val="00091BBF"/>
    <w:rsid w:val="00095480"/>
    <w:rsid w:val="000A08EA"/>
    <w:rsid w:val="000A1245"/>
    <w:rsid w:val="000A1780"/>
    <w:rsid w:val="000A408A"/>
    <w:rsid w:val="000A5135"/>
    <w:rsid w:val="000A6CE1"/>
    <w:rsid w:val="000A702B"/>
    <w:rsid w:val="000B15F1"/>
    <w:rsid w:val="000B3B53"/>
    <w:rsid w:val="000C71FA"/>
    <w:rsid w:val="000C795D"/>
    <w:rsid w:val="000C7D1E"/>
    <w:rsid w:val="000D0D61"/>
    <w:rsid w:val="000D11AC"/>
    <w:rsid w:val="000D14F2"/>
    <w:rsid w:val="000D5EB5"/>
    <w:rsid w:val="000D6845"/>
    <w:rsid w:val="000E0F71"/>
    <w:rsid w:val="000E1472"/>
    <w:rsid w:val="000E5568"/>
    <w:rsid w:val="000F0490"/>
    <w:rsid w:val="000F1C53"/>
    <w:rsid w:val="000F234E"/>
    <w:rsid w:val="000F3D81"/>
    <w:rsid w:val="000F788D"/>
    <w:rsid w:val="00100BB8"/>
    <w:rsid w:val="00101C16"/>
    <w:rsid w:val="00104AC8"/>
    <w:rsid w:val="00105177"/>
    <w:rsid w:val="00105B9F"/>
    <w:rsid w:val="00107566"/>
    <w:rsid w:val="0011003E"/>
    <w:rsid w:val="00111A00"/>
    <w:rsid w:val="00114105"/>
    <w:rsid w:val="00115A5F"/>
    <w:rsid w:val="00115CB3"/>
    <w:rsid w:val="001206FE"/>
    <w:rsid w:val="00121083"/>
    <w:rsid w:val="00122F0F"/>
    <w:rsid w:val="00126B2A"/>
    <w:rsid w:val="0012777A"/>
    <w:rsid w:val="00132A68"/>
    <w:rsid w:val="001331D7"/>
    <w:rsid w:val="00135A95"/>
    <w:rsid w:val="00143336"/>
    <w:rsid w:val="00143401"/>
    <w:rsid w:val="00143C40"/>
    <w:rsid w:val="00145CC3"/>
    <w:rsid w:val="0015079E"/>
    <w:rsid w:val="00152D7E"/>
    <w:rsid w:val="00154115"/>
    <w:rsid w:val="00156A94"/>
    <w:rsid w:val="00162151"/>
    <w:rsid w:val="001621BF"/>
    <w:rsid w:val="00162298"/>
    <w:rsid w:val="00163C7B"/>
    <w:rsid w:val="00163D2E"/>
    <w:rsid w:val="00172A27"/>
    <w:rsid w:val="00173798"/>
    <w:rsid w:val="00173E8B"/>
    <w:rsid w:val="00174E25"/>
    <w:rsid w:val="00176EB9"/>
    <w:rsid w:val="001828C2"/>
    <w:rsid w:val="001903A2"/>
    <w:rsid w:val="00195AED"/>
    <w:rsid w:val="001970C8"/>
    <w:rsid w:val="0019787C"/>
    <w:rsid w:val="00197999"/>
    <w:rsid w:val="001A0134"/>
    <w:rsid w:val="001A168A"/>
    <w:rsid w:val="001A4B77"/>
    <w:rsid w:val="001B17CC"/>
    <w:rsid w:val="001B3EB1"/>
    <w:rsid w:val="001B7439"/>
    <w:rsid w:val="001C0680"/>
    <w:rsid w:val="001C0B8E"/>
    <w:rsid w:val="001C384F"/>
    <w:rsid w:val="001C7ACD"/>
    <w:rsid w:val="001D1726"/>
    <w:rsid w:val="001D2338"/>
    <w:rsid w:val="001D6068"/>
    <w:rsid w:val="001D717A"/>
    <w:rsid w:val="001E37A6"/>
    <w:rsid w:val="001E6600"/>
    <w:rsid w:val="001F162E"/>
    <w:rsid w:val="001F4232"/>
    <w:rsid w:val="001F46BE"/>
    <w:rsid w:val="001F5D53"/>
    <w:rsid w:val="001F6DDE"/>
    <w:rsid w:val="001F7999"/>
    <w:rsid w:val="001F7A0C"/>
    <w:rsid w:val="002045D5"/>
    <w:rsid w:val="0020499A"/>
    <w:rsid w:val="0020534B"/>
    <w:rsid w:val="00213480"/>
    <w:rsid w:val="002139D7"/>
    <w:rsid w:val="002146D1"/>
    <w:rsid w:val="00214AD8"/>
    <w:rsid w:val="00215982"/>
    <w:rsid w:val="00216A3B"/>
    <w:rsid w:val="00221686"/>
    <w:rsid w:val="00222AC5"/>
    <w:rsid w:val="00225EC8"/>
    <w:rsid w:val="00232FD3"/>
    <w:rsid w:val="00234591"/>
    <w:rsid w:val="00234D6C"/>
    <w:rsid w:val="00243D10"/>
    <w:rsid w:val="00245169"/>
    <w:rsid w:val="00245229"/>
    <w:rsid w:val="00245893"/>
    <w:rsid w:val="00246E3B"/>
    <w:rsid w:val="00247988"/>
    <w:rsid w:val="00247E62"/>
    <w:rsid w:val="00250799"/>
    <w:rsid w:val="00251D4A"/>
    <w:rsid w:val="002526E1"/>
    <w:rsid w:val="00257071"/>
    <w:rsid w:val="00261123"/>
    <w:rsid w:val="00270414"/>
    <w:rsid w:val="00271B36"/>
    <w:rsid w:val="00273C64"/>
    <w:rsid w:val="002763D0"/>
    <w:rsid w:val="002826DE"/>
    <w:rsid w:val="002831FC"/>
    <w:rsid w:val="00287E6F"/>
    <w:rsid w:val="00291E81"/>
    <w:rsid w:val="00292F15"/>
    <w:rsid w:val="00292F8E"/>
    <w:rsid w:val="00294EC4"/>
    <w:rsid w:val="002A140C"/>
    <w:rsid w:val="002A1BF1"/>
    <w:rsid w:val="002A43A2"/>
    <w:rsid w:val="002A67B6"/>
    <w:rsid w:val="002B1A70"/>
    <w:rsid w:val="002B3036"/>
    <w:rsid w:val="002B4AF7"/>
    <w:rsid w:val="002B4CC9"/>
    <w:rsid w:val="002C1971"/>
    <w:rsid w:val="002C2941"/>
    <w:rsid w:val="002C5CE4"/>
    <w:rsid w:val="002D02E7"/>
    <w:rsid w:val="002D20F2"/>
    <w:rsid w:val="002D5E7E"/>
    <w:rsid w:val="002D67E2"/>
    <w:rsid w:val="002D6ED0"/>
    <w:rsid w:val="002E1947"/>
    <w:rsid w:val="002E28C5"/>
    <w:rsid w:val="002E35BF"/>
    <w:rsid w:val="002F0DE6"/>
    <w:rsid w:val="002F45EE"/>
    <w:rsid w:val="002F4B74"/>
    <w:rsid w:val="00300108"/>
    <w:rsid w:val="0030073B"/>
    <w:rsid w:val="00305AC4"/>
    <w:rsid w:val="00306CBC"/>
    <w:rsid w:val="003073C7"/>
    <w:rsid w:val="00312A0F"/>
    <w:rsid w:val="00312A4B"/>
    <w:rsid w:val="003131D2"/>
    <w:rsid w:val="00313385"/>
    <w:rsid w:val="0031467A"/>
    <w:rsid w:val="00314FAB"/>
    <w:rsid w:val="00321005"/>
    <w:rsid w:val="003227D7"/>
    <w:rsid w:val="0032534D"/>
    <w:rsid w:val="00326368"/>
    <w:rsid w:val="003279F1"/>
    <w:rsid w:val="003346EE"/>
    <w:rsid w:val="0033484C"/>
    <w:rsid w:val="0033777F"/>
    <w:rsid w:val="00341376"/>
    <w:rsid w:val="00344552"/>
    <w:rsid w:val="00347C8B"/>
    <w:rsid w:val="00351452"/>
    <w:rsid w:val="00353543"/>
    <w:rsid w:val="003536C8"/>
    <w:rsid w:val="003546C0"/>
    <w:rsid w:val="00354A7F"/>
    <w:rsid w:val="003559F6"/>
    <w:rsid w:val="0036009E"/>
    <w:rsid w:val="0036599B"/>
    <w:rsid w:val="00371C18"/>
    <w:rsid w:val="00371E4A"/>
    <w:rsid w:val="00371EBB"/>
    <w:rsid w:val="003751BA"/>
    <w:rsid w:val="003827ED"/>
    <w:rsid w:val="00384733"/>
    <w:rsid w:val="00385748"/>
    <w:rsid w:val="00386047"/>
    <w:rsid w:val="003863F3"/>
    <w:rsid w:val="0039611D"/>
    <w:rsid w:val="00397098"/>
    <w:rsid w:val="00397D76"/>
    <w:rsid w:val="003A0DF9"/>
    <w:rsid w:val="003A39B9"/>
    <w:rsid w:val="003A5BC3"/>
    <w:rsid w:val="003A6A58"/>
    <w:rsid w:val="003B2404"/>
    <w:rsid w:val="003B3287"/>
    <w:rsid w:val="003B39C8"/>
    <w:rsid w:val="003B42E9"/>
    <w:rsid w:val="003B4BA1"/>
    <w:rsid w:val="003B5491"/>
    <w:rsid w:val="003C19CA"/>
    <w:rsid w:val="003C31BD"/>
    <w:rsid w:val="003C49BC"/>
    <w:rsid w:val="003C5970"/>
    <w:rsid w:val="003C5AC1"/>
    <w:rsid w:val="003D1718"/>
    <w:rsid w:val="003D4B7D"/>
    <w:rsid w:val="003D4CCE"/>
    <w:rsid w:val="003D599A"/>
    <w:rsid w:val="003D5A36"/>
    <w:rsid w:val="003E5D78"/>
    <w:rsid w:val="003E62A6"/>
    <w:rsid w:val="003E6942"/>
    <w:rsid w:val="003E7769"/>
    <w:rsid w:val="003E7BC0"/>
    <w:rsid w:val="003F3CC1"/>
    <w:rsid w:val="00401712"/>
    <w:rsid w:val="0040320C"/>
    <w:rsid w:val="00403580"/>
    <w:rsid w:val="004056C2"/>
    <w:rsid w:val="00406723"/>
    <w:rsid w:val="004079C8"/>
    <w:rsid w:val="004135AC"/>
    <w:rsid w:val="004135E4"/>
    <w:rsid w:val="0042117C"/>
    <w:rsid w:val="0042404B"/>
    <w:rsid w:val="0043582D"/>
    <w:rsid w:val="00436032"/>
    <w:rsid w:val="00436CEC"/>
    <w:rsid w:val="00437DF0"/>
    <w:rsid w:val="004422EA"/>
    <w:rsid w:val="00443250"/>
    <w:rsid w:val="004506A0"/>
    <w:rsid w:val="00456308"/>
    <w:rsid w:val="00456AB0"/>
    <w:rsid w:val="00463DF6"/>
    <w:rsid w:val="00467A0C"/>
    <w:rsid w:val="0047255A"/>
    <w:rsid w:val="0047426C"/>
    <w:rsid w:val="0047467F"/>
    <w:rsid w:val="00476640"/>
    <w:rsid w:val="004821FE"/>
    <w:rsid w:val="00482B1F"/>
    <w:rsid w:val="0048765D"/>
    <w:rsid w:val="00487F12"/>
    <w:rsid w:val="00491B3A"/>
    <w:rsid w:val="00491FFA"/>
    <w:rsid w:val="004934E6"/>
    <w:rsid w:val="00493893"/>
    <w:rsid w:val="004938A1"/>
    <w:rsid w:val="0049599B"/>
    <w:rsid w:val="004A0D8A"/>
    <w:rsid w:val="004A4FDC"/>
    <w:rsid w:val="004B4B4C"/>
    <w:rsid w:val="004B5246"/>
    <w:rsid w:val="004C215F"/>
    <w:rsid w:val="004C2557"/>
    <w:rsid w:val="004C70B5"/>
    <w:rsid w:val="004D5E39"/>
    <w:rsid w:val="004D6095"/>
    <w:rsid w:val="004D6444"/>
    <w:rsid w:val="004D7338"/>
    <w:rsid w:val="004E40CE"/>
    <w:rsid w:val="004F05BF"/>
    <w:rsid w:val="004F5D98"/>
    <w:rsid w:val="004F642A"/>
    <w:rsid w:val="00505DB1"/>
    <w:rsid w:val="00506F87"/>
    <w:rsid w:val="00507B92"/>
    <w:rsid w:val="00510BC3"/>
    <w:rsid w:val="00512A9D"/>
    <w:rsid w:val="00513180"/>
    <w:rsid w:val="005135AC"/>
    <w:rsid w:val="005176CC"/>
    <w:rsid w:val="00544603"/>
    <w:rsid w:val="005454CE"/>
    <w:rsid w:val="0055147E"/>
    <w:rsid w:val="00553D03"/>
    <w:rsid w:val="005548F8"/>
    <w:rsid w:val="00555303"/>
    <w:rsid w:val="00557671"/>
    <w:rsid w:val="00557B13"/>
    <w:rsid w:val="005647BF"/>
    <w:rsid w:val="00574AE5"/>
    <w:rsid w:val="00576510"/>
    <w:rsid w:val="0057659A"/>
    <w:rsid w:val="00583CCC"/>
    <w:rsid w:val="00585419"/>
    <w:rsid w:val="005867C4"/>
    <w:rsid w:val="00590B1C"/>
    <w:rsid w:val="005925DF"/>
    <w:rsid w:val="00593BEA"/>
    <w:rsid w:val="005945B8"/>
    <w:rsid w:val="005A0E0F"/>
    <w:rsid w:val="005A24E0"/>
    <w:rsid w:val="005A63BF"/>
    <w:rsid w:val="005A66CB"/>
    <w:rsid w:val="005A785A"/>
    <w:rsid w:val="005B0C1C"/>
    <w:rsid w:val="005B2144"/>
    <w:rsid w:val="005B2F38"/>
    <w:rsid w:val="005B2FD0"/>
    <w:rsid w:val="005B4EFD"/>
    <w:rsid w:val="005B7535"/>
    <w:rsid w:val="005C0DE9"/>
    <w:rsid w:val="005C53B1"/>
    <w:rsid w:val="005C5985"/>
    <w:rsid w:val="005C5B5A"/>
    <w:rsid w:val="005C67C9"/>
    <w:rsid w:val="005C6B9A"/>
    <w:rsid w:val="005C7441"/>
    <w:rsid w:val="005D32C5"/>
    <w:rsid w:val="005E0C0B"/>
    <w:rsid w:val="005E128E"/>
    <w:rsid w:val="005E2069"/>
    <w:rsid w:val="005E51A3"/>
    <w:rsid w:val="005E65B3"/>
    <w:rsid w:val="005E750F"/>
    <w:rsid w:val="005E77FA"/>
    <w:rsid w:val="005F05C9"/>
    <w:rsid w:val="005F3142"/>
    <w:rsid w:val="005F3175"/>
    <w:rsid w:val="005F4E57"/>
    <w:rsid w:val="005F5C81"/>
    <w:rsid w:val="005F68C4"/>
    <w:rsid w:val="005F6AE2"/>
    <w:rsid w:val="005F7888"/>
    <w:rsid w:val="0060176C"/>
    <w:rsid w:val="00607E57"/>
    <w:rsid w:val="00613BB2"/>
    <w:rsid w:val="0061433E"/>
    <w:rsid w:val="00620635"/>
    <w:rsid w:val="0062318A"/>
    <w:rsid w:val="00623DF3"/>
    <w:rsid w:val="00630A22"/>
    <w:rsid w:val="006313C2"/>
    <w:rsid w:val="0063419D"/>
    <w:rsid w:val="006350A9"/>
    <w:rsid w:val="00635D61"/>
    <w:rsid w:val="00641B49"/>
    <w:rsid w:val="00642188"/>
    <w:rsid w:val="006429BD"/>
    <w:rsid w:val="00644DB7"/>
    <w:rsid w:val="00647235"/>
    <w:rsid w:val="00650490"/>
    <w:rsid w:val="00652828"/>
    <w:rsid w:val="006537C3"/>
    <w:rsid w:val="0065388D"/>
    <w:rsid w:val="00653ED1"/>
    <w:rsid w:val="00655105"/>
    <w:rsid w:val="00656FC3"/>
    <w:rsid w:val="0066079F"/>
    <w:rsid w:val="00661134"/>
    <w:rsid w:val="00662B24"/>
    <w:rsid w:val="00663563"/>
    <w:rsid w:val="0066430B"/>
    <w:rsid w:val="00664FC1"/>
    <w:rsid w:val="006661EF"/>
    <w:rsid w:val="006676B9"/>
    <w:rsid w:val="0067052E"/>
    <w:rsid w:val="0067328A"/>
    <w:rsid w:val="006759B1"/>
    <w:rsid w:val="0067614A"/>
    <w:rsid w:val="0067788D"/>
    <w:rsid w:val="00681855"/>
    <w:rsid w:val="006860D7"/>
    <w:rsid w:val="00686B9D"/>
    <w:rsid w:val="006903B2"/>
    <w:rsid w:val="00691C85"/>
    <w:rsid w:val="00692E9D"/>
    <w:rsid w:val="00693010"/>
    <w:rsid w:val="0069459D"/>
    <w:rsid w:val="00694984"/>
    <w:rsid w:val="006A03B7"/>
    <w:rsid w:val="006A5CC9"/>
    <w:rsid w:val="006A667F"/>
    <w:rsid w:val="006B1DD6"/>
    <w:rsid w:val="006B35CD"/>
    <w:rsid w:val="006B44C8"/>
    <w:rsid w:val="006C2FDA"/>
    <w:rsid w:val="006C3803"/>
    <w:rsid w:val="006C7A34"/>
    <w:rsid w:val="006D0147"/>
    <w:rsid w:val="006D2EC0"/>
    <w:rsid w:val="006D45A2"/>
    <w:rsid w:val="006E2E08"/>
    <w:rsid w:val="006E5264"/>
    <w:rsid w:val="006E7099"/>
    <w:rsid w:val="006F1EFE"/>
    <w:rsid w:val="006F2C6B"/>
    <w:rsid w:val="006F3306"/>
    <w:rsid w:val="007008F7"/>
    <w:rsid w:val="00700DB0"/>
    <w:rsid w:val="00702FA1"/>
    <w:rsid w:val="00703861"/>
    <w:rsid w:val="00704585"/>
    <w:rsid w:val="00706E5C"/>
    <w:rsid w:val="0070711B"/>
    <w:rsid w:val="007074BB"/>
    <w:rsid w:val="00707920"/>
    <w:rsid w:val="00712D66"/>
    <w:rsid w:val="00713ADE"/>
    <w:rsid w:val="007158CA"/>
    <w:rsid w:val="00715923"/>
    <w:rsid w:val="00720BC2"/>
    <w:rsid w:val="00721258"/>
    <w:rsid w:val="00721780"/>
    <w:rsid w:val="00721EC6"/>
    <w:rsid w:val="007233AC"/>
    <w:rsid w:val="00723488"/>
    <w:rsid w:val="007239E8"/>
    <w:rsid w:val="00725B7B"/>
    <w:rsid w:val="007323E9"/>
    <w:rsid w:val="00733651"/>
    <w:rsid w:val="00734716"/>
    <w:rsid w:val="00735BCB"/>
    <w:rsid w:val="0073613C"/>
    <w:rsid w:val="007377DC"/>
    <w:rsid w:val="00744594"/>
    <w:rsid w:val="0075336B"/>
    <w:rsid w:val="00753E95"/>
    <w:rsid w:val="00757041"/>
    <w:rsid w:val="00760D8C"/>
    <w:rsid w:val="007701D5"/>
    <w:rsid w:val="00770A66"/>
    <w:rsid w:val="00772F48"/>
    <w:rsid w:val="00775B4F"/>
    <w:rsid w:val="007853F1"/>
    <w:rsid w:val="007925DD"/>
    <w:rsid w:val="00794C03"/>
    <w:rsid w:val="00796417"/>
    <w:rsid w:val="007A381A"/>
    <w:rsid w:val="007A4AA1"/>
    <w:rsid w:val="007A5A57"/>
    <w:rsid w:val="007A659B"/>
    <w:rsid w:val="007A679E"/>
    <w:rsid w:val="007B0B2B"/>
    <w:rsid w:val="007B271C"/>
    <w:rsid w:val="007B75E7"/>
    <w:rsid w:val="007C02F8"/>
    <w:rsid w:val="007C09FA"/>
    <w:rsid w:val="007C0E4F"/>
    <w:rsid w:val="007C2AE5"/>
    <w:rsid w:val="007C53D2"/>
    <w:rsid w:val="007C7D05"/>
    <w:rsid w:val="007D0B7A"/>
    <w:rsid w:val="007E141A"/>
    <w:rsid w:val="007E1CF3"/>
    <w:rsid w:val="007E2E60"/>
    <w:rsid w:val="007E388B"/>
    <w:rsid w:val="007E3BE5"/>
    <w:rsid w:val="007E43CC"/>
    <w:rsid w:val="007E4B7B"/>
    <w:rsid w:val="007E578F"/>
    <w:rsid w:val="007E6A76"/>
    <w:rsid w:val="007F067F"/>
    <w:rsid w:val="007F09A2"/>
    <w:rsid w:val="007F0CD7"/>
    <w:rsid w:val="007F2172"/>
    <w:rsid w:val="007F2657"/>
    <w:rsid w:val="007F3D5D"/>
    <w:rsid w:val="007F4686"/>
    <w:rsid w:val="007F5135"/>
    <w:rsid w:val="007F61EF"/>
    <w:rsid w:val="00806C4E"/>
    <w:rsid w:val="008112B3"/>
    <w:rsid w:val="008113AF"/>
    <w:rsid w:val="0081331C"/>
    <w:rsid w:val="00814A2C"/>
    <w:rsid w:val="00816166"/>
    <w:rsid w:val="00821333"/>
    <w:rsid w:val="008213C1"/>
    <w:rsid w:val="00823F72"/>
    <w:rsid w:val="00830115"/>
    <w:rsid w:val="008312E3"/>
    <w:rsid w:val="008348ED"/>
    <w:rsid w:val="008349DA"/>
    <w:rsid w:val="00835E18"/>
    <w:rsid w:val="00836606"/>
    <w:rsid w:val="008368D7"/>
    <w:rsid w:val="008576BB"/>
    <w:rsid w:val="00860484"/>
    <w:rsid w:val="008606CA"/>
    <w:rsid w:val="0086131B"/>
    <w:rsid w:val="00862C03"/>
    <w:rsid w:val="00864671"/>
    <w:rsid w:val="00870079"/>
    <w:rsid w:val="008829BA"/>
    <w:rsid w:val="00890A40"/>
    <w:rsid w:val="0089568E"/>
    <w:rsid w:val="008A05A5"/>
    <w:rsid w:val="008A2AC2"/>
    <w:rsid w:val="008A42B0"/>
    <w:rsid w:val="008A4BA9"/>
    <w:rsid w:val="008A7D25"/>
    <w:rsid w:val="008B08E1"/>
    <w:rsid w:val="008B1729"/>
    <w:rsid w:val="008B3FEA"/>
    <w:rsid w:val="008C17B4"/>
    <w:rsid w:val="008C2785"/>
    <w:rsid w:val="008C2B53"/>
    <w:rsid w:val="008C3B14"/>
    <w:rsid w:val="008C542A"/>
    <w:rsid w:val="008D16DF"/>
    <w:rsid w:val="008D2AC9"/>
    <w:rsid w:val="008D4D60"/>
    <w:rsid w:val="008D4F47"/>
    <w:rsid w:val="008E3432"/>
    <w:rsid w:val="008E4175"/>
    <w:rsid w:val="008F2F65"/>
    <w:rsid w:val="008F69A1"/>
    <w:rsid w:val="009007FD"/>
    <w:rsid w:val="00902749"/>
    <w:rsid w:val="0091240F"/>
    <w:rsid w:val="00913151"/>
    <w:rsid w:val="00916797"/>
    <w:rsid w:val="0092011B"/>
    <w:rsid w:val="00921F24"/>
    <w:rsid w:val="009252E7"/>
    <w:rsid w:val="00931D59"/>
    <w:rsid w:val="00932B37"/>
    <w:rsid w:val="00937021"/>
    <w:rsid w:val="00941FFA"/>
    <w:rsid w:val="00946E0B"/>
    <w:rsid w:val="00947E40"/>
    <w:rsid w:val="00950369"/>
    <w:rsid w:val="00950992"/>
    <w:rsid w:val="00952DB9"/>
    <w:rsid w:val="00955419"/>
    <w:rsid w:val="009578C9"/>
    <w:rsid w:val="0096041E"/>
    <w:rsid w:val="00960557"/>
    <w:rsid w:val="00962504"/>
    <w:rsid w:val="00966B76"/>
    <w:rsid w:val="00971125"/>
    <w:rsid w:val="009732CB"/>
    <w:rsid w:val="00980150"/>
    <w:rsid w:val="00980B5A"/>
    <w:rsid w:val="00981369"/>
    <w:rsid w:val="00982752"/>
    <w:rsid w:val="00984CFD"/>
    <w:rsid w:val="0098544E"/>
    <w:rsid w:val="00985CDC"/>
    <w:rsid w:val="009865BB"/>
    <w:rsid w:val="009871AC"/>
    <w:rsid w:val="00991894"/>
    <w:rsid w:val="009967E7"/>
    <w:rsid w:val="009A0CB2"/>
    <w:rsid w:val="009A25F3"/>
    <w:rsid w:val="009A53E0"/>
    <w:rsid w:val="009B5C44"/>
    <w:rsid w:val="009B5C5B"/>
    <w:rsid w:val="009B72F4"/>
    <w:rsid w:val="009C0D8D"/>
    <w:rsid w:val="009C14D0"/>
    <w:rsid w:val="009C5AD1"/>
    <w:rsid w:val="009C75E1"/>
    <w:rsid w:val="009D11D2"/>
    <w:rsid w:val="009D2A0F"/>
    <w:rsid w:val="009D79EC"/>
    <w:rsid w:val="009D79F8"/>
    <w:rsid w:val="009E5D07"/>
    <w:rsid w:val="009F1D4E"/>
    <w:rsid w:val="009F4176"/>
    <w:rsid w:val="009F4DB5"/>
    <w:rsid w:val="009F7B82"/>
    <w:rsid w:val="00A00ECF"/>
    <w:rsid w:val="00A03BC6"/>
    <w:rsid w:val="00A03DFB"/>
    <w:rsid w:val="00A0482F"/>
    <w:rsid w:val="00A0766F"/>
    <w:rsid w:val="00A0793E"/>
    <w:rsid w:val="00A11715"/>
    <w:rsid w:val="00A1637B"/>
    <w:rsid w:val="00A17DD9"/>
    <w:rsid w:val="00A202BB"/>
    <w:rsid w:val="00A23B2D"/>
    <w:rsid w:val="00A26173"/>
    <w:rsid w:val="00A26F01"/>
    <w:rsid w:val="00A2765F"/>
    <w:rsid w:val="00A31843"/>
    <w:rsid w:val="00A3321F"/>
    <w:rsid w:val="00A351FE"/>
    <w:rsid w:val="00A40B87"/>
    <w:rsid w:val="00A41592"/>
    <w:rsid w:val="00A45456"/>
    <w:rsid w:val="00A5121B"/>
    <w:rsid w:val="00A57333"/>
    <w:rsid w:val="00A66073"/>
    <w:rsid w:val="00A66A91"/>
    <w:rsid w:val="00A67094"/>
    <w:rsid w:val="00A729BC"/>
    <w:rsid w:val="00A732EB"/>
    <w:rsid w:val="00A74A2A"/>
    <w:rsid w:val="00A75282"/>
    <w:rsid w:val="00A7649C"/>
    <w:rsid w:val="00A8473F"/>
    <w:rsid w:val="00A85A99"/>
    <w:rsid w:val="00A875F1"/>
    <w:rsid w:val="00A94D4B"/>
    <w:rsid w:val="00AA0E91"/>
    <w:rsid w:val="00AA111F"/>
    <w:rsid w:val="00AA35BE"/>
    <w:rsid w:val="00AA532B"/>
    <w:rsid w:val="00AA6F75"/>
    <w:rsid w:val="00AB1DA6"/>
    <w:rsid w:val="00AB27AB"/>
    <w:rsid w:val="00AB3389"/>
    <w:rsid w:val="00AB562D"/>
    <w:rsid w:val="00AB65AE"/>
    <w:rsid w:val="00AC1DDC"/>
    <w:rsid w:val="00AC2474"/>
    <w:rsid w:val="00AC3354"/>
    <w:rsid w:val="00AC345E"/>
    <w:rsid w:val="00AC3EBE"/>
    <w:rsid w:val="00AD1B0F"/>
    <w:rsid w:val="00AD272A"/>
    <w:rsid w:val="00AD54CD"/>
    <w:rsid w:val="00AD74AF"/>
    <w:rsid w:val="00AE0F34"/>
    <w:rsid w:val="00AE1565"/>
    <w:rsid w:val="00AE16B5"/>
    <w:rsid w:val="00AE28EE"/>
    <w:rsid w:val="00AE3CDA"/>
    <w:rsid w:val="00AE6ED2"/>
    <w:rsid w:val="00AF5980"/>
    <w:rsid w:val="00B00650"/>
    <w:rsid w:val="00B011AE"/>
    <w:rsid w:val="00B01C80"/>
    <w:rsid w:val="00B03F22"/>
    <w:rsid w:val="00B07AFA"/>
    <w:rsid w:val="00B12D8B"/>
    <w:rsid w:val="00B144E7"/>
    <w:rsid w:val="00B171AA"/>
    <w:rsid w:val="00B17614"/>
    <w:rsid w:val="00B202ED"/>
    <w:rsid w:val="00B25587"/>
    <w:rsid w:val="00B26562"/>
    <w:rsid w:val="00B34AE4"/>
    <w:rsid w:val="00B431B4"/>
    <w:rsid w:val="00B50FE1"/>
    <w:rsid w:val="00B55F70"/>
    <w:rsid w:val="00B6468A"/>
    <w:rsid w:val="00B71489"/>
    <w:rsid w:val="00B71814"/>
    <w:rsid w:val="00B71AF0"/>
    <w:rsid w:val="00B7391C"/>
    <w:rsid w:val="00B75FA3"/>
    <w:rsid w:val="00B76A83"/>
    <w:rsid w:val="00B8410B"/>
    <w:rsid w:val="00B86402"/>
    <w:rsid w:val="00B86A83"/>
    <w:rsid w:val="00B878DF"/>
    <w:rsid w:val="00B9212F"/>
    <w:rsid w:val="00BA1064"/>
    <w:rsid w:val="00BA3596"/>
    <w:rsid w:val="00BA7198"/>
    <w:rsid w:val="00BB01F7"/>
    <w:rsid w:val="00BB3E60"/>
    <w:rsid w:val="00BC1127"/>
    <w:rsid w:val="00BC1BE2"/>
    <w:rsid w:val="00BC1CE7"/>
    <w:rsid w:val="00BC20A6"/>
    <w:rsid w:val="00BC37CD"/>
    <w:rsid w:val="00BC4F33"/>
    <w:rsid w:val="00BC5C21"/>
    <w:rsid w:val="00BD02DD"/>
    <w:rsid w:val="00BD4C8C"/>
    <w:rsid w:val="00BE4A1D"/>
    <w:rsid w:val="00BF1135"/>
    <w:rsid w:val="00BF1CA9"/>
    <w:rsid w:val="00BF5792"/>
    <w:rsid w:val="00BF5B87"/>
    <w:rsid w:val="00C01785"/>
    <w:rsid w:val="00C12012"/>
    <w:rsid w:val="00C12629"/>
    <w:rsid w:val="00C13007"/>
    <w:rsid w:val="00C149C4"/>
    <w:rsid w:val="00C15529"/>
    <w:rsid w:val="00C20832"/>
    <w:rsid w:val="00C22A24"/>
    <w:rsid w:val="00C24375"/>
    <w:rsid w:val="00C3400E"/>
    <w:rsid w:val="00C379B0"/>
    <w:rsid w:val="00C423AB"/>
    <w:rsid w:val="00C44773"/>
    <w:rsid w:val="00C47468"/>
    <w:rsid w:val="00C57649"/>
    <w:rsid w:val="00C57935"/>
    <w:rsid w:val="00C62584"/>
    <w:rsid w:val="00C62E89"/>
    <w:rsid w:val="00C66B8A"/>
    <w:rsid w:val="00C7321F"/>
    <w:rsid w:val="00C74CC2"/>
    <w:rsid w:val="00C825BE"/>
    <w:rsid w:val="00C82C13"/>
    <w:rsid w:val="00C82C8F"/>
    <w:rsid w:val="00C83F73"/>
    <w:rsid w:val="00C87518"/>
    <w:rsid w:val="00C901D0"/>
    <w:rsid w:val="00C93843"/>
    <w:rsid w:val="00C9486F"/>
    <w:rsid w:val="00C9594F"/>
    <w:rsid w:val="00CA1E44"/>
    <w:rsid w:val="00CA2B85"/>
    <w:rsid w:val="00CA2CA2"/>
    <w:rsid w:val="00CA4C3F"/>
    <w:rsid w:val="00CA76CA"/>
    <w:rsid w:val="00CB38D0"/>
    <w:rsid w:val="00CB546A"/>
    <w:rsid w:val="00CB7B2D"/>
    <w:rsid w:val="00CC1B76"/>
    <w:rsid w:val="00CC3027"/>
    <w:rsid w:val="00CC40B9"/>
    <w:rsid w:val="00CC4188"/>
    <w:rsid w:val="00CD1F0A"/>
    <w:rsid w:val="00CE0C7C"/>
    <w:rsid w:val="00CE62C5"/>
    <w:rsid w:val="00CF0654"/>
    <w:rsid w:val="00CF13C8"/>
    <w:rsid w:val="00CF1D17"/>
    <w:rsid w:val="00CF43B4"/>
    <w:rsid w:val="00CF5B07"/>
    <w:rsid w:val="00D00303"/>
    <w:rsid w:val="00D025CF"/>
    <w:rsid w:val="00D02803"/>
    <w:rsid w:val="00D04050"/>
    <w:rsid w:val="00D052EE"/>
    <w:rsid w:val="00D05607"/>
    <w:rsid w:val="00D1238F"/>
    <w:rsid w:val="00D12519"/>
    <w:rsid w:val="00D14BE9"/>
    <w:rsid w:val="00D16D44"/>
    <w:rsid w:val="00D20DA6"/>
    <w:rsid w:val="00D221D4"/>
    <w:rsid w:val="00D23439"/>
    <w:rsid w:val="00D24015"/>
    <w:rsid w:val="00D25925"/>
    <w:rsid w:val="00D25EA3"/>
    <w:rsid w:val="00D30996"/>
    <w:rsid w:val="00D30EE3"/>
    <w:rsid w:val="00D32D07"/>
    <w:rsid w:val="00D347D8"/>
    <w:rsid w:val="00D358D1"/>
    <w:rsid w:val="00D37905"/>
    <w:rsid w:val="00D44F7A"/>
    <w:rsid w:val="00D50E83"/>
    <w:rsid w:val="00D519C6"/>
    <w:rsid w:val="00D52A3F"/>
    <w:rsid w:val="00D52BD9"/>
    <w:rsid w:val="00D52C31"/>
    <w:rsid w:val="00D53FCC"/>
    <w:rsid w:val="00D56580"/>
    <w:rsid w:val="00D56C68"/>
    <w:rsid w:val="00D603E8"/>
    <w:rsid w:val="00D618FE"/>
    <w:rsid w:val="00D6574E"/>
    <w:rsid w:val="00D735DB"/>
    <w:rsid w:val="00D736E9"/>
    <w:rsid w:val="00D809FC"/>
    <w:rsid w:val="00D81A38"/>
    <w:rsid w:val="00D82BEE"/>
    <w:rsid w:val="00D83490"/>
    <w:rsid w:val="00D83750"/>
    <w:rsid w:val="00D859CC"/>
    <w:rsid w:val="00D9658E"/>
    <w:rsid w:val="00D9774E"/>
    <w:rsid w:val="00DA4E9F"/>
    <w:rsid w:val="00DA6E81"/>
    <w:rsid w:val="00DA740E"/>
    <w:rsid w:val="00DB0326"/>
    <w:rsid w:val="00DB6502"/>
    <w:rsid w:val="00DC02CF"/>
    <w:rsid w:val="00DC0718"/>
    <w:rsid w:val="00DC12FB"/>
    <w:rsid w:val="00DC1C68"/>
    <w:rsid w:val="00DC4DDA"/>
    <w:rsid w:val="00DC5A69"/>
    <w:rsid w:val="00DC77F9"/>
    <w:rsid w:val="00DC7F34"/>
    <w:rsid w:val="00DD1709"/>
    <w:rsid w:val="00DD709C"/>
    <w:rsid w:val="00DE72D4"/>
    <w:rsid w:val="00DE744A"/>
    <w:rsid w:val="00DE752F"/>
    <w:rsid w:val="00DF19C6"/>
    <w:rsid w:val="00DF6D9D"/>
    <w:rsid w:val="00E00255"/>
    <w:rsid w:val="00E00499"/>
    <w:rsid w:val="00E020FC"/>
    <w:rsid w:val="00E070CD"/>
    <w:rsid w:val="00E100A7"/>
    <w:rsid w:val="00E11F58"/>
    <w:rsid w:val="00E14A4D"/>
    <w:rsid w:val="00E15F18"/>
    <w:rsid w:val="00E20269"/>
    <w:rsid w:val="00E22538"/>
    <w:rsid w:val="00E23439"/>
    <w:rsid w:val="00E274B2"/>
    <w:rsid w:val="00E32062"/>
    <w:rsid w:val="00E32410"/>
    <w:rsid w:val="00E37E8C"/>
    <w:rsid w:val="00E40575"/>
    <w:rsid w:val="00E43665"/>
    <w:rsid w:val="00E45B17"/>
    <w:rsid w:val="00E50C2D"/>
    <w:rsid w:val="00E5213F"/>
    <w:rsid w:val="00E52B0B"/>
    <w:rsid w:val="00E558A1"/>
    <w:rsid w:val="00E56778"/>
    <w:rsid w:val="00E6220A"/>
    <w:rsid w:val="00E62633"/>
    <w:rsid w:val="00E633DC"/>
    <w:rsid w:val="00E64F40"/>
    <w:rsid w:val="00E6672A"/>
    <w:rsid w:val="00E67693"/>
    <w:rsid w:val="00E67C2A"/>
    <w:rsid w:val="00E7002D"/>
    <w:rsid w:val="00E7432B"/>
    <w:rsid w:val="00E77911"/>
    <w:rsid w:val="00E80343"/>
    <w:rsid w:val="00E80790"/>
    <w:rsid w:val="00E829B8"/>
    <w:rsid w:val="00E83E4A"/>
    <w:rsid w:val="00E863F9"/>
    <w:rsid w:val="00E8795F"/>
    <w:rsid w:val="00E95C9D"/>
    <w:rsid w:val="00EA0E4F"/>
    <w:rsid w:val="00EA1D86"/>
    <w:rsid w:val="00EA2643"/>
    <w:rsid w:val="00EA34DC"/>
    <w:rsid w:val="00EB2330"/>
    <w:rsid w:val="00EB2A9B"/>
    <w:rsid w:val="00EB2B63"/>
    <w:rsid w:val="00EB2D52"/>
    <w:rsid w:val="00EB3310"/>
    <w:rsid w:val="00EB3B4E"/>
    <w:rsid w:val="00EB480A"/>
    <w:rsid w:val="00EB5134"/>
    <w:rsid w:val="00EC027E"/>
    <w:rsid w:val="00EC3779"/>
    <w:rsid w:val="00EC40F8"/>
    <w:rsid w:val="00EC43F3"/>
    <w:rsid w:val="00EC4D23"/>
    <w:rsid w:val="00ED653F"/>
    <w:rsid w:val="00EE2AA0"/>
    <w:rsid w:val="00EE69FC"/>
    <w:rsid w:val="00EF2837"/>
    <w:rsid w:val="00EF4764"/>
    <w:rsid w:val="00EF5C8D"/>
    <w:rsid w:val="00EF6C8E"/>
    <w:rsid w:val="00F0038C"/>
    <w:rsid w:val="00F011F1"/>
    <w:rsid w:val="00F041E2"/>
    <w:rsid w:val="00F0631D"/>
    <w:rsid w:val="00F11009"/>
    <w:rsid w:val="00F1723C"/>
    <w:rsid w:val="00F20F76"/>
    <w:rsid w:val="00F210E3"/>
    <w:rsid w:val="00F25A17"/>
    <w:rsid w:val="00F26619"/>
    <w:rsid w:val="00F2755C"/>
    <w:rsid w:val="00F3670F"/>
    <w:rsid w:val="00F37D49"/>
    <w:rsid w:val="00F40D68"/>
    <w:rsid w:val="00F43117"/>
    <w:rsid w:val="00F43420"/>
    <w:rsid w:val="00F44D9A"/>
    <w:rsid w:val="00F45541"/>
    <w:rsid w:val="00F509B4"/>
    <w:rsid w:val="00F67109"/>
    <w:rsid w:val="00F7218E"/>
    <w:rsid w:val="00F727D1"/>
    <w:rsid w:val="00F742BF"/>
    <w:rsid w:val="00F80D2C"/>
    <w:rsid w:val="00F82248"/>
    <w:rsid w:val="00F82D02"/>
    <w:rsid w:val="00F83528"/>
    <w:rsid w:val="00F85444"/>
    <w:rsid w:val="00F86934"/>
    <w:rsid w:val="00F9085C"/>
    <w:rsid w:val="00F90D10"/>
    <w:rsid w:val="00F912C1"/>
    <w:rsid w:val="00F913B3"/>
    <w:rsid w:val="00F95304"/>
    <w:rsid w:val="00F96806"/>
    <w:rsid w:val="00FA73BB"/>
    <w:rsid w:val="00FA7BCF"/>
    <w:rsid w:val="00FB33BE"/>
    <w:rsid w:val="00FB51F2"/>
    <w:rsid w:val="00FB5793"/>
    <w:rsid w:val="00FC560A"/>
    <w:rsid w:val="00FC61A2"/>
    <w:rsid w:val="00FD0C21"/>
    <w:rsid w:val="00FD23D5"/>
    <w:rsid w:val="00FD4385"/>
    <w:rsid w:val="00FE2FC2"/>
    <w:rsid w:val="00FE4A2A"/>
    <w:rsid w:val="00FE4D37"/>
    <w:rsid w:val="00FF4AB5"/>
    <w:rsid w:val="00FF532F"/>
    <w:rsid w:val="00FF53D3"/>
    <w:rsid w:val="00FF6184"/>
    <w:rsid w:val="00FF7901"/>
    <w:rsid w:val="03A714A6"/>
    <w:rsid w:val="03FD5967"/>
    <w:rsid w:val="04C8213D"/>
    <w:rsid w:val="04E35DC0"/>
    <w:rsid w:val="05F035F0"/>
    <w:rsid w:val="06F975B0"/>
    <w:rsid w:val="07DB3BFF"/>
    <w:rsid w:val="0D531611"/>
    <w:rsid w:val="11BD61A0"/>
    <w:rsid w:val="12336B6B"/>
    <w:rsid w:val="14255524"/>
    <w:rsid w:val="1ECA3D89"/>
    <w:rsid w:val="26EB4A06"/>
    <w:rsid w:val="28406118"/>
    <w:rsid w:val="29167C98"/>
    <w:rsid w:val="297A560F"/>
    <w:rsid w:val="2A8A37F8"/>
    <w:rsid w:val="2B144428"/>
    <w:rsid w:val="2CEA38C5"/>
    <w:rsid w:val="3241706E"/>
    <w:rsid w:val="35EB6DD3"/>
    <w:rsid w:val="36DF6106"/>
    <w:rsid w:val="377E79E0"/>
    <w:rsid w:val="37FA67F4"/>
    <w:rsid w:val="39496376"/>
    <w:rsid w:val="41F069A7"/>
    <w:rsid w:val="42560EC2"/>
    <w:rsid w:val="43716E43"/>
    <w:rsid w:val="47AC0D06"/>
    <w:rsid w:val="4CC53B18"/>
    <w:rsid w:val="50152A21"/>
    <w:rsid w:val="56A37B8A"/>
    <w:rsid w:val="618B730C"/>
    <w:rsid w:val="653A620F"/>
    <w:rsid w:val="67B8460E"/>
    <w:rsid w:val="6B143644"/>
    <w:rsid w:val="6DD8450A"/>
    <w:rsid w:val="6DF31860"/>
    <w:rsid w:val="71525805"/>
    <w:rsid w:val="740372A8"/>
    <w:rsid w:val="75845AEB"/>
    <w:rsid w:val="773D428F"/>
    <w:rsid w:val="7A002FF4"/>
    <w:rsid w:val="7D127081"/>
    <w:rsid w:val="7EBD11E9"/>
    <w:rsid w:val="BDFD06B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name="footnote text"/>
    <w:lsdException w:qFormat="1" w:unhideWhenUsed="0" w:uiPriority="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qFormat/>
    <w:uiPriority w:val="0"/>
    <w:pPr>
      <w:keepNext/>
      <w:keepLines/>
      <w:spacing w:before="280" w:after="290" w:line="376" w:lineRule="auto"/>
      <w:outlineLvl w:val="4"/>
    </w:pPr>
    <w:rPr>
      <w:b/>
      <w:bCs/>
      <w:sz w:val="28"/>
      <w:szCs w:val="28"/>
    </w:rPr>
  </w:style>
  <w:style w:type="paragraph" w:styleId="7">
    <w:name w:val="heading 6"/>
    <w:basedOn w:val="1"/>
    <w:next w:val="1"/>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qFormat/>
    <w:uiPriority w:val="0"/>
    <w:pPr>
      <w:keepNext/>
      <w:keepLines/>
      <w:spacing w:before="240" w:after="64" w:line="320" w:lineRule="auto"/>
      <w:outlineLvl w:val="6"/>
    </w:pPr>
    <w:rPr>
      <w:b/>
      <w:bCs/>
      <w:sz w:val="24"/>
    </w:rPr>
  </w:style>
  <w:style w:type="paragraph" w:styleId="9">
    <w:name w:val="heading 8"/>
    <w:basedOn w:val="1"/>
    <w:next w:val="1"/>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qFormat/>
    <w:uiPriority w:val="0"/>
    <w:pPr>
      <w:keepNext/>
      <w:keepLines/>
      <w:spacing w:before="240" w:after="64" w:line="320" w:lineRule="auto"/>
      <w:outlineLvl w:val="8"/>
    </w:pPr>
    <w:rPr>
      <w:rFonts w:ascii="Arial" w:hAnsi="Arial" w:eastAsia="黑体"/>
      <w:szCs w:val="21"/>
    </w:rPr>
  </w:style>
  <w:style w:type="character" w:default="1" w:styleId="40">
    <w:name w:val="Default Paragraph Font"/>
    <w:semiHidden/>
    <w:unhideWhenUsed/>
    <w:uiPriority w:val="1"/>
  </w:style>
  <w:style w:type="table" w:default="1" w:styleId="38">
    <w:name w:val="Normal Table"/>
    <w:semiHidden/>
    <w:unhideWhenUsed/>
    <w:uiPriority w:val="99"/>
    <w:tblPr>
      <w:tblCellMar>
        <w:top w:w="0" w:type="dxa"/>
        <w:left w:w="108" w:type="dxa"/>
        <w:bottom w:w="0" w:type="dxa"/>
        <w:right w:w="108" w:type="dxa"/>
      </w:tblCellMar>
    </w:tblPr>
  </w:style>
  <w:style w:type="paragraph" w:styleId="11">
    <w:name w:val="toc 7"/>
    <w:basedOn w:val="12"/>
    <w:next w:val="1"/>
    <w:semiHidden/>
    <w:qFormat/>
    <w:uiPriority w:val="0"/>
  </w:style>
  <w:style w:type="paragraph" w:styleId="12">
    <w:name w:val="toc 6"/>
    <w:basedOn w:val="13"/>
    <w:next w:val="1"/>
    <w:semiHidden/>
    <w:qFormat/>
    <w:uiPriority w:val="0"/>
  </w:style>
  <w:style w:type="paragraph" w:styleId="13">
    <w:name w:val="toc 5"/>
    <w:basedOn w:val="14"/>
    <w:next w:val="1"/>
    <w:semiHidden/>
    <w:qFormat/>
    <w:uiPriority w:val="0"/>
  </w:style>
  <w:style w:type="paragraph" w:styleId="14">
    <w:name w:val="toc 4"/>
    <w:basedOn w:val="15"/>
    <w:next w:val="1"/>
    <w:semiHidden/>
    <w:qFormat/>
    <w:uiPriority w:val="0"/>
  </w:style>
  <w:style w:type="paragraph" w:styleId="15">
    <w:name w:val="toc 3"/>
    <w:basedOn w:val="16"/>
    <w:next w:val="1"/>
    <w:semiHidden/>
    <w:qFormat/>
    <w:uiPriority w:val="0"/>
  </w:style>
  <w:style w:type="paragraph" w:styleId="16">
    <w:name w:val="toc 2"/>
    <w:basedOn w:val="17"/>
    <w:next w:val="1"/>
    <w:semiHidden/>
    <w:qFormat/>
    <w:uiPriority w:val="0"/>
  </w:style>
  <w:style w:type="paragraph" w:styleId="17">
    <w:name w:val="toc 1"/>
    <w:next w:val="1"/>
    <w:semiHidden/>
    <w:qFormat/>
    <w:uiPriority w:val="0"/>
    <w:pPr>
      <w:jc w:val="both"/>
    </w:pPr>
    <w:rPr>
      <w:rFonts w:ascii="宋体" w:hAnsi="Times New Roman" w:eastAsia="宋体" w:cs="Times New Roman"/>
      <w:sz w:val="21"/>
      <w:lang w:val="en-US" w:eastAsia="zh-CN" w:bidi="ar-SA"/>
    </w:rPr>
  </w:style>
  <w:style w:type="paragraph" w:styleId="18">
    <w:name w:val="Normal Indent"/>
    <w:basedOn w:val="1"/>
    <w:qFormat/>
    <w:uiPriority w:val="0"/>
    <w:pPr>
      <w:ind w:firstLine="420"/>
    </w:pPr>
  </w:style>
  <w:style w:type="paragraph" w:styleId="19">
    <w:name w:val="Document Map"/>
    <w:basedOn w:val="1"/>
    <w:semiHidden/>
    <w:qFormat/>
    <w:uiPriority w:val="0"/>
    <w:pPr>
      <w:shd w:val="clear" w:color="auto" w:fill="000080"/>
    </w:pPr>
  </w:style>
  <w:style w:type="paragraph" w:styleId="20">
    <w:name w:val="toa heading"/>
    <w:basedOn w:val="1"/>
    <w:next w:val="1"/>
    <w:semiHidden/>
    <w:qFormat/>
    <w:uiPriority w:val="0"/>
    <w:pPr>
      <w:widowControl/>
      <w:tabs>
        <w:tab w:val="left" w:pos="720"/>
      </w:tabs>
    </w:pPr>
    <w:rPr>
      <w:b/>
      <w:kern w:val="0"/>
      <w:sz w:val="22"/>
    </w:rPr>
  </w:style>
  <w:style w:type="paragraph" w:styleId="21">
    <w:name w:val="annotation text"/>
    <w:basedOn w:val="1"/>
    <w:link w:val="128"/>
    <w:semiHidden/>
    <w:qFormat/>
    <w:uiPriority w:val="0"/>
    <w:pPr>
      <w:jc w:val="left"/>
    </w:pPr>
  </w:style>
  <w:style w:type="paragraph" w:styleId="22">
    <w:name w:val="Body Text"/>
    <w:basedOn w:val="1"/>
    <w:qFormat/>
    <w:uiPriority w:val="0"/>
    <w:pPr>
      <w:spacing w:after="120"/>
    </w:pPr>
  </w:style>
  <w:style w:type="paragraph" w:styleId="23">
    <w:name w:val="Body Text Indent"/>
    <w:basedOn w:val="1"/>
    <w:qFormat/>
    <w:uiPriority w:val="0"/>
    <w:pPr>
      <w:ind w:left="420" w:hanging="420" w:hangingChars="200"/>
    </w:pPr>
  </w:style>
  <w:style w:type="paragraph" w:styleId="24">
    <w:name w:val="HTML Address"/>
    <w:basedOn w:val="1"/>
    <w:qFormat/>
    <w:uiPriority w:val="0"/>
    <w:rPr>
      <w:i/>
      <w:iCs/>
    </w:rPr>
  </w:style>
  <w:style w:type="paragraph" w:styleId="25">
    <w:name w:val="Plain Text"/>
    <w:basedOn w:val="1"/>
    <w:qFormat/>
    <w:uiPriority w:val="0"/>
    <w:rPr>
      <w:rFonts w:ascii="宋体" w:hAnsi="Courier New"/>
      <w:szCs w:val="21"/>
    </w:rPr>
  </w:style>
  <w:style w:type="paragraph" w:styleId="26">
    <w:name w:val="toc 8"/>
    <w:basedOn w:val="11"/>
    <w:next w:val="1"/>
    <w:semiHidden/>
    <w:qFormat/>
    <w:uiPriority w:val="0"/>
  </w:style>
  <w:style w:type="paragraph" w:styleId="27">
    <w:name w:val="Date"/>
    <w:basedOn w:val="1"/>
    <w:next w:val="1"/>
    <w:qFormat/>
    <w:uiPriority w:val="0"/>
    <w:rPr>
      <w:rFonts w:ascii="黑体" w:eastAsia="黑体"/>
      <w:b/>
    </w:rPr>
  </w:style>
  <w:style w:type="paragraph" w:styleId="28">
    <w:name w:val="Balloon Text"/>
    <w:basedOn w:val="1"/>
    <w:semiHidden/>
    <w:qFormat/>
    <w:uiPriority w:val="0"/>
    <w:rPr>
      <w:sz w:val="18"/>
      <w:szCs w:val="18"/>
    </w:rPr>
  </w:style>
  <w:style w:type="paragraph" w:styleId="29">
    <w:name w:val="footer"/>
    <w:basedOn w:val="1"/>
    <w:link w:val="64"/>
    <w:qFormat/>
    <w:uiPriority w:val="99"/>
    <w:pPr>
      <w:tabs>
        <w:tab w:val="center" w:pos="4153"/>
        <w:tab w:val="right" w:pos="8306"/>
      </w:tabs>
      <w:snapToGrid w:val="0"/>
      <w:ind w:right="210" w:rightChars="100"/>
      <w:jc w:val="right"/>
    </w:pPr>
    <w:rPr>
      <w:sz w:val="18"/>
      <w:szCs w:val="18"/>
    </w:rPr>
  </w:style>
  <w:style w:type="paragraph" w:styleId="30">
    <w:name w:val="header"/>
    <w:basedOn w:val="1"/>
    <w:link w:val="63"/>
    <w:qFormat/>
    <w:uiPriority w:val="0"/>
    <w:pPr>
      <w:pBdr>
        <w:bottom w:val="single" w:color="auto" w:sz="6" w:space="1"/>
      </w:pBdr>
      <w:tabs>
        <w:tab w:val="center" w:pos="4153"/>
        <w:tab w:val="right" w:pos="8306"/>
      </w:tabs>
      <w:snapToGrid w:val="0"/>
      <w:jc w:val="center"/>
    </w:pPr>
    <w:rPr>
      <w:sz w:val="18"/>
      <w:szCs w:val="18"/>
    </w:rPr>
  </w:style>
  <w:style w:type="paragraph" w:styleId="31">
    <w:name w:val="footnote text"/>
    <w:basedOn w:val="1"/>
    <w:semiHidden/>
    <w:qFormat/>
    <w:uiPriority w:val="0"/>
    <w:pPr>
      <w:snapToGrid w:val="0"/>
      <w:jc w:val="left"/>
    </w:pPr>
    <w:rPr>
      <w:sz w:val="18"/>
      <w:szCs w:val="18"/>
    </w:rPr>
  </w:style>
  <w:style w:type="paragraph" w:styleId="32">
    <w:name w:val="Body Text Indent 3"/>
    <w:basedOn w:val="1"/>
    <w:qFormat/>
    <w:uiPriority w:val="0"/>
    <w:pPr>
      <w:spacing w:after="120"/>
      <w:ind w:left="420" w:leftChars="200"/>
    </w:pPr>
    <w:rPr>
      <w:sz w:val="16"/>
      <w:szCs w:val="16"/>
    </w:rPr>
  </w:style>
  <w:style w:type="paragraph" w:styleId="33">
    <w:name w:val="toc 9"/>
    <w:basedOn w:val="26"/>
    <w:next w:val="1"/>
    <w:semiHidden/>
    <w:qFormat/>
    <w:uiPriority w:val="0"/>
  </w:style>
  <w:style w:type="paragraph" w:styleId="34">
    <w:name w:val="HTML Preformatted"/>
    <w:basedOn w:val="1"/>
    <w:qFormat/>
    <w:uiPriority w:val="0"/>
    <w:rPr>
      <w:rFonts w:ascii="Courier New" w:hAnsi="Courier New" w:cs="Courier New"/>
      <w:sz w:val="20"/>
    </w:rPr>
  </w:style>
  <w:style w:type="paragraph" w:styleId="35">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36">
    <w:name w:val="Title"/>
    <w:basedOn w:val="1"/>
    <w:link w:val="62"/>
    <w:qFormat/>
    <w:uiPriority w:val="0"/>
    <w:pPr>
      <w:spacing w:before="240" w:after="60"/>
      <w:jc w:val="center"/>
      <w:outlineLvl w:val="0"/>
    </w:pPr>
    <w:rPr>
      <w:rFonts w:ascii="Arial" w:hAnsi="Arial" w:cs="Arial"/>
      <w:b/>
      <w:bCs/>
      <w:sz w:val="32"/>
      <w:szCs w:val="32"/>
    </w:rPr>
  </w:style>
  <w:style w:type="paragraph" w:styleId="37">
    <w:name w:val="annotation subject"/>
    <w:basedOn w:val="21"/>
    <w:next w:val="21"/>
    <w:semiHidden/>
    <w:qFormat/>
    <w:uiPriority w:val="0"/>
    <w:rPr>
      <w:b/>
      <w:bCs/>
    </w:rPr>
  </w:style>
  <w:style w:type="table" w:styleId="39">
    <w:name w:val="Table Grid"/>
    <w:basedOn w:val="38"/>
    <w:qFormat/>
    <w:uiPriority w:val="59"/>
    <w:rPr>
      <w:rFonts w:ascii="Calibri" w:hAnsi="Calibri"/>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page number"/>
    <w:qFormat/>
    <w:uiPriority w:val="0"/>
    <w:rPr>
      <w:rFonts w:ascii="Times New Roman" w:hAnsi="Times New Roman" w:eastAsia="宋体"/>
      <w:sz w:val="18"/>
    </w:rPr>
  </w:style>
  <w:style w:type="character" w:styleId="42">
    <w:name w:val="FollowedHyperlink"/>
    <w:qFormat/>
    <w:uiPriority w:val="0"/>
    <w:rPr>
      <w:color w:val="800080"/>
      <w:u w:val="single"/>
    </w:rPr>
  </w:style>
  <w:style w:type="character" w:styleId="43">
    <w:name w:val="HTML Definition"/>
    <w:qFormat/>
    <w:uiPriority w:val="0"/>
    <w:rPr>
      <w:i/>
      <w:iCs/>
    </w:rPr>
  </w:style>
  <w:style w:type="character" w:styleId="44">
    <w:name w:val="HTML Typewriter"/>
    <w:qFormat/>
    <w:uiPriority w:val="0"/>
    <w:rPr>
      <w:rFonts w:ascii="Courier New" w:hAnsi="Courier New"/>
      <w:sz w:val="20"/>
      <w:szCs w:val="20"/>
    </w:rPr>
  </w:style>
  <w:style w:type="character" w:styleId="45">
    <w:name w:val="HTML Acronym"/>
    <w:basedOn w:val="40"/>
    <w:qFormat/>
    <w:uiPriority w:val="0"/>
  </w:style>
  <w:style w:type="character" w:styleId="46">
    <w:name w:val="HTML Variable"/>
    <w:qFormat/>
    <w:uiPriority w:val="0"/>
    <w:rPr>
      <w:i/>
      <w:iCs/>
    </w:rPr>
  </w:style>
  <w:style w:type="character" w:styleId="47">
    <w:name w:val="Hyperlink"/>
    <w:qFormat/>
    <w:uiPriority w:val="0"/>
    <w:rPr>
      <w:rFonts w:ascii="Times New Roman" w:hAnsi="Times New Roman" w:eastAsia="宋体"/>
      <w:color w:val="auto"/>
      <w:spacing w:val="0"/>
      <w:w w:val="100"/>
      <w:position w:val="0"/>
      <w:sz w:val="21"/>
      <w:u w:val="none"/>
      <w:vertAlign w:val="baseline"/>
    </w:rPr>
  </w:style>
  <w:style w:type="character" w:styleId="48">
    <w:name w:val="HTML Code"/>
    <w:qFormat/>
    <w:uiPriority w:val="0"/>
    <w:rPr>
      <w:rFonts w:ascii="Courier New" w:hAnsi="Courier New"/>
      <w:sz w:val="20"/>
      <w:szCs w:val="20"/>
    </w:rPr>
  </w:style>
  <w:style w:type="character" w:styleId="49">
    <w:name w:val="annotation reference"/>
    <w:semiHidden/>
    <w:qFormat/>
    <w:uiPriority w:val="0"/>
    <w:rPr>
      <w:sz w:val="21"/>
      <w:szCs w:val="21"/>
    </w:rPr>
  </w:style>
  <w:style w:type="character" w:styleId="50">
    <w:name w:val="HTML Cite"/>
    <w:qFormat/>
    <w:uiPriority w:val="0"/>
    <w:rPr>
      <w:i/>
      <w:iCs/>
    </w:rPr>
  </w:style>
  <w:style w:type="character" w:styleId="51">
    <w:name w:val="footnote reference"/>
    <w:semiHidden/>
    <w:qFormat/>
    <w:uiPriority w:val="0"/>
    <w:rPr>
      <w:vertAlign w:val="superscript"/>
    </w:rPr>
  </w:style>
  <w:style w:type="character" w:styleId="52">
    <w:name w:val="HTML Keyboard"/>
    <w:qFormat/>
    <w:uiPriority w:val="0"/>
    <w:rPr>
      <w:rFonts w:ascii="Courier New" w:hAnsi="Courier New"/>
      <w:sz w:val="20"/>
      <w:szCs w:val="20"/>
    </w:rPr>
  </w:style>
  <w:style w:type="character" w:styleId="53">
    <w:name w:val="HTML Sample"/>
    <w:qFormat/>
    <w:uiPriority w:val="0"/>
    <w:rPr>
      <w:rFonts w:ascii="Courier New" w:hAnsi="Courier New"/>
    </w:rPr>
  </w:style>
  <w:style w:type="character" w:customStyle="1" w:styleId="54">
    <w:name w:val="发布"/>
    <w:qFormat/>
    <w:uiPriority w:val="0"/>
    <w:rPr>
      <w:rFonts w:ascii="黑体" w:eastAsia="黑体"/>
      <w:spacing w:val="22"/>
      <w:w w:val="100"/>
      <w:position w:val="3"/>
      <w:sz w:val="28"/>
    </w:rPr>
  </w:style>
  <w:style w:type="character" w:customStyle="1" w:styleId="55">
    <w:name w:val="个人答复风格"/>
    <w:qFormat/>
    <w:uiPriority w:val="0"/>
    <w:rPr>
      <w:rFonts w:ascii="Arial" w:hAnsi="Arial" w:eastAsia="宋体" w:cs="Arial"/>
      <w:color w:val="auto"/>
      <w:sz w:val="20"/>
    </w:rPr>
  </w:style>
  <w:style w:type="character" w:customStyle="1" w:styleId="56">
    <w:name w:val="个人撰写风格"/>
    <w:qFormat/>
    <w:uiPriority w:val="0"/>
    <w:rPr>
      <w:rFonts w:ascii="Arial" w:hAnsi="Arial" w:eastAsia="宋体" w:cs="Arial"/>
      <w:color w:val="auto"/>
      <w:sz w:val="20"/>
    </w:rPr>
  </w:style>
  <w:style w:type="character" w:customStyle="1" w:styleId="57">
    <w:name w:val="mtitle1"/>
    <w:qFormat/>
    <w:uiPriority w:val="0"/>
    <w:rPr>
      <w:rFonts w:hint="default" w:ascii="ˎ̥" w:hAnsi="ˎ̥"/>
      <w:color w:val="000000"/>
      <w:sz w:val="21"/>
      <w:szCs w:val="21"/>
    </w:rPr>
  </w:style>
  <w:style w:type="character" w:customStyle="1" w:styleId="58">
    <w:name w:val="段 Char"/>
    <w:link w:val="59"/>
    <w:qFormat/>
    <w:uiPriority w:val="0"/>
    <w:rPr>
      <w:rFonts w:ascii="宋体"/>
      <w:sz w:val="21"/>
      <w:lang w:val="en-US" w:eastAsia="zh-CN" w:bidi="ar-SA"/>
    </w:rPr>
  </w:style>
  <w:style w:type="paragraph" w:customStyle="1" w:styleId="59">
    <w:name w:val="段"/>
    <w:link w:val="58"/>
    <w:qFormat/>
    <w:uiPriority w:val="0"/>
    <w:pPr>
      <w:ind w:firstLine="200" w:firstLineChars="200"/>
      <w:jc w:val="both"/>
    </w:pPr>
    <w:rPr>
      <w:rFonts w:ascii="宋体" w:hAnsi="Times New Roman" w:eastAsia="宋体" w:cs="Times New Roman"/>
      <w:sz w:val="21"/>
      <w:lang w:val="en-US" w:eastAsia="zh-CN" w:bidi="ar-SA"/>
    </w:rPr>
  </w:style>
  <w:style w:type="character" w:customStyle="1" w:styleId="60">
    <w:name w:val="goog_qs-tidbit-1"/>
    <w:basedOn w:val="40"/>
    <w:qFormat/>
    <w:uiPriority w:val="0"/>
  </w:style>
  <w:style w:type="character" w:customStyle="1" w:styleId="61">
    <w:name w:val="goog_qs-tidbit goog_qs-tidbit-1"/>
    <w:basedOn w:val="40"/>
    <w:qFormat/>
    <w:uiPriority w:val="0"/>
  </w:style>
  <w:style w:type="character" w:customStyle="1" w:styleId="62">
    <w:name w:val="标题 Char"/>
    <w:link w:val="36"/>
    <w:qFormat/>
    <w:locked/>
    <w:uiPriority w:val="0"/>
    <w:rPr>
      <w:rFonts w:ascii="Arial" w:hAnsi="Arial" w:eastAsia="宋体" w:cs="Arial"/>
      <w:b/>
      <w:bCs/>
      <w:kern w:val="2"/>
      <w:sz w:val="32"/>
      <w:szCs w:val="32"/>
      <w:lang w:val="en-US" w:eastAsia="zh-CN" w:bidi="ar-SA"/>
    </w:rPr>
  </w:style>
  <w:style w:type="character" w:customStyle="1" w:styleId="63">
    <w:name w:val="页眉 Char"/>
    <w:link w:val="30"/>
    <w:qFormat/>
    <w:locked/>
    <w:uiPriority w:val="0"/>
    <w:rPr>
      <w:rFonts w:eastAsia="宋体"/>
      <w:kern w:val="2"/>
      <w:sz w:val="18"/>
      <w:szCs w:val="18"/>
      <w:lang w:val="en-US" w:eastAsia="zh-CN" w:bidi="ar-SA"/>
    </w:rPr>
  </w:style>
  <w:style w:type="character" w:customStyle="1" w:styleId="64">
    <w:name w:val="页脚 Char"/>
    <w:link w:val="29"/>
    <w:qFormat/>
    <w:uiPriority w:val="99"/>
    <w:rPr>
      <w:kern w:val="2"/>
      <w:sz w:val="18"/>
      <w:szCs w:val="18"/>
    </w:rPr>
  </w:style>
  <w:style w:type="paragraph" w:customStyle="1" w:styleId="65">
    <w:name w:val="示例"/>
    <w:next w:val="59"/>
    <w:qFormat/>
    <w:uiPriority w:val="0"/>
    <w:pPr>
      <w:numPr>
        <w:ilvl w:val="0"/>
        <w:numId w:val="1"/>
      </w:numPr>
      <w:tabs>
        <w:tab w:val="left" w:pos="816"/>
        <w:tab w:val="clear" w:pos="1120"/>
      </w:tabs>
      <w:ind w:firstLine="419" w:firstLineChars="233"/>
      <w:jc w:val="both"/>
    </w:pPr>
    <w:rPr>
      <w:rFonts w:ascii="宋体" w:hAnsi="Times New Roman" w:eastAsia="宋体" w:cs="Times New Roman"/>
      <w:sz w:val="18"/>
      <w:lang w:val="en-US" w:eastAsia="zh-CN" w:bidi="ar-SA"/>
    </w:rPr>
  </w:style>
  <w:style w:type="paragraph" w:customStyle="1" w:styleId="66">
    <w:name w:val="二级无标题条"/>
    <w:basedOn w:val="1"/>
    <w:qFormat/>
    <w:uiPriority w:val="0"/>
    <w:pPr>
      <w:numPr>
        <w:ilvl w:val="3"/>
        <w:numId w:val="2"/>
      </w:numPr>
    </w:pPr>
  </w:style>
  <w:style w:type="paragraph" w:customStyle="1" w:styleId="67">
    <w:name w:val="其他发布部门"/>
    <w:basedOn w:val="68"/>
    <w:qFormat/>
    <w:uiPriority w:val="0"/>
    <w:pPr>
      <w:spacing w:line="0" w:lineRule="atLeast"/>
    </w:pPr>
    <w:rPr>
      <w:rFonts w:ascii="黑体" w:eastAsia="黑体"/>
      <w:b w:val="0"/>
    </w:rPr>
  </w:style>
  <w:style w:type="paragraph" w:customStyle="1" w:styleId="68">
    <w:name w:val="发布部门"/>
    <w:next w:val="59"/>
    <w:qFormat/>
    <w:uiPriority w:val="0"/>
    <w:pPr>
      <w:jc w:val="center"/>
    </w:pPr>
    <w:rPr>
      <w:rFonts w:ascii="宋体" w:hAnsi="Times New Roman" w:eastAsia="宋体" w:cs="Times New Roman"/>
      <w:b/>
      <w:spacing w:val="20"/>
      <w:w w:val="135"/>
      <w:sz w:val="36"/>
      <w:lang w:val="en-US" w:eastAsia="zh-CN" w:bidi="ar-SA"/>
    </w:rPr>
  </w:style>
  <w:style w:type="paragraph" w:customStyle="1" w:styleId="69">
    <w:name w:val="标准书眉_偶数页"/>
    <w:basedOn w:val="70"/>
    <w:next w:val="1"/>
    <w:qFormat/>
    <w:uiPriority w:val="0"/>
    <w:pPr>
      <w:tabs>
        <w:tab w:val="center" w:pos="4154"/>
        <w:tab w:val="right" w:pos="8306"/>
      </w:tabs>
      <w:jc w:val="left"/>
    </w:pPr>
  </w:style>
  <w:style w:type="paragraph" w:customStyle="1" w:styleId="70">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71">
    <w:name w:val="附录四级条标题"/>
    <w:basedOn w:val="72"/>
    <w:next w:val="59"/>
    <w:qFormat/>
    <w:uiPriority w:val="0"/>
    <w:pPr>
      <w:numPr>
        <w:ilvl w:val="5"/>
      </w:numPr>
      <w:outlineLvl w:val="5"/>
    </w:pPr>
  </w:style>
  <w:style w:type="paragraph" w:customStyle="1" w:styleId="72">
    <w:name w:val="附录三级条标题"/>
    <w:basedOn w:val="73"/>
    <w:next w:val="59"/>
    <w:qFormat/>
    <w:uiPriority w:val="0"/>
    <w:pPr>
      <w:numPr>
        <w:ilvl w:val="4"/>
      </w:numPr>
      <w:outlineLvl w:val="4"/>
    </w:pPr>
  </w:style>
  <w:style w:type="paragraph" w:customStyle="1" w:styleId="73">
    <w:name w:val="附录二级条标题"/>
    <w:basedOn w:val="74"/>
    <w:next w:val="59"/>
    <w:qFormat/>
    <w:uiPriority w:val="0"/>
    <w:pPr>
      <w:numPr>
        <w:ilvl w:val="3"/>
      </w:numPr>
      <w:outlineLvl w:val="3"/>
    </w:pPr>
  </w:style>
  <w:style w:type="paragraph" w:customStyle="1" w:styleId="74">
    <w:name w:val="附录一级条标题"/>
    <w:basedOn w:val="75"/>
    <w:next w:val="59"/>
    <w:qFormat/>
    <w:uiPriority w:val="0"/>
    <w:pPr>
      <w:numPr>
        <w:ilvl w:val="2"/>
      </w:numPr>
      <w:autoSpaceDN w:val="0"/>
      <w:spacing w:beforeLines="0" w:afterLines="0"/>
      <w:outlineLvl w:val="2"/>
    </w:pPr>
  </w:style>
  <w:style w:type="paragraph" w:customStyle="1" w:styleId="75">
    <w:name w:val="附录章标题"/>
    <w:next w:val="59"/>
    <w:qFormat/>
    <w:uiPriority w:val="0"/>
    <w:pPr>
      <w:numPr>
        <w:ilvl w:val="1"/>
        <w:numId w:val="3"/>
      </w:numPr>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76">
    <w:name w:val="一级条标题"/>
    <w:basedOn w:val="77"/>
    <w:next w:val="59"/>
    <w:qFormat/>
    <w:uiPriority w:val="0"/>
    <w:pPr>
      <w:spacing w:beforeLines="0" w:afterLines="0"/>
      <w:outlineLvl w:val="2"/>
    </w:pPr>
  </w:style>
  <w:style w:type="paragraph" w:customStyle="1" w:styleId="77">
    <w:name w:val="章标题"/>
    <w:next w:val="59"/>
    <w:qFormat/>
    <w:uiPriority w:val="0"/>
    <w:pPr>
      <w:spacing w:beforeLines="50" w:afterLines="50"/>
      <w:jc w:val="both"/>
      <w:outlineLvl w:val="1"/>
    </w:pPr>
    <w:rPr>
      <w:rFonts w:ascii="黑体" w:hAnsi="Times New Roman" w:eastAsia="黑体" w:cs="Times New Roman"/>
      <w:sz w:val="21"/>
      <w:lang w:val="en-US" w:eastAsia="zh-CN" w:bidi="ar-SA"/>
    </w:rPr>
  </w:style>
  <w:style w:type="paragraph" w:customStyle="1" w:styleId="78">
    <w:name w:val="前言、引言标题"/>
    <w:next w:val="1"/>
    <w:qFormat/>
    <w:uiPriority w:val="0"/>
    <w:pPr>
      <w:numPr>
        <w:ilvl w:val="0"/>
        <w:numId w:val="4"/>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79">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80">
    <w:name w:val="三级条标题"/>
    <w:basedOn w:val="81"/>
    <w:next w:val="59"/>
    <w:qFormat/>
    <w:uiPriority w:val="0"/>
    <w:pPr>
      <w:numPr>
        <w:ilvl w:val="4"/>
        <w:numId w:val="4"/>
      </w:numPr>
      <w:outlineLvl w:val="4"/>
    </w:pPr>
  </w:style>
  <w:style w:type="paragraph" w:customStyle="1" w:styleId="81">
    <w:name w:val="二级条标题"/>
    <w:basedOn w:val="76"/>
    <w:next w:val="59"/>
    <w:qFormat/>
    <w:uiPriority w:val="0"/>
    <w:pPr>
      <w:outlineLvl w:val="3"/>
    </w:pPr>
  </w:style>
  <w:style w:type="paragraph" w:customStyle="1" w:styleId="82">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83">
    <w:name w:val="附录五级条标题"/>
    <w:basedOn w:val="71"/>
    <w:next w:val="59"/>
    <w:qFormat/>
    <w:uiPriority w:val="0"/>
    <w:pPr>
      <w:numPr>
        <w:ilvl w:val="6"/>
      </w:numPr>
      <w:outlineLvl w:val="6"/>
    </w:pPr>
  </w:style>
  <w:style w:type="paragraph" w:customStyle="1" w:styleId="84">
    <w:name w:val="标准书眉一"/>
    <w:qFormat/>
    <w:uiPriority w:val="0"/>
    <w:pPr>
      <w:jc w:val="both"/>
    </w:pPr>
    <w:rPr>
      <w:rFonts w:ascii="Times New Roman" w:hAnsi="Times New Roman" w:eastAsia="宋体" w:cs="Times New Roman"/>
      <w:lang w:val="en-US" w:eastAsia="zh-CN" w:bidi="ar-SA"/>
    </w:rPr>
  </w:style>
  <w:style w:type="paragraph" w:customStyle="1" w:styleId="85">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86">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87">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88">
    <w:name w:val="参考文献、索引标题"/>
    <w:basedOn w:val="78"/>
    <w:next w:val="1"/>
    <w:qFormat/>
    <w:uiPriority w:val="0"/>
    <w:pPr>
      <w:numPr>
        <w:numId w:val="0"/>
      </w:numPr>
      <w:spacing w:after="200"/>
    </w:pPr>
    <w:rPr>
      <w:sz w:val="21"/>
    </w:rPr>
  </w:style>
  <w:style w:type="paragraph" w:customStyle="1" w:styleId="89">
    <w:name w:val="发布日期"/>
    <w:qFormat/>
    <w:uiPriority w:val="0"/>
    <w:rPr>
      <w:rFonts w:ascii="Times New Roman" w:hAnsi="Times New Roman" w:eastAsia="黑体" w:cs="Times New Roman"/>
      <w:sz w:val="28"/>
      <w:lang w:val="en-US" w:eastAsia="zh-CN" w:bidi="ar-SA"/>
    </w:rPr>
  </w:style>
  <w:style w:type="paragraph" w:customStyle="1" w:styleId="90">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91">
    <w:name w:val="实施日期"/>
    <w:basedOn w:val="89"/>
    <w:qFormat/>
    <w:uiPriority w:val="0"/>
    <w:pPr>
      <w:jc w:val="right"/>
    </w:pPr>
  </w:style>
  <w:style w:type="paragraph" w:customStyle="1" w:styleId="92">
    <w:name w:val="封面标准号2"/>
    <w:basedOn w:val="90"/>
    <w:qFormat/>
    <w:uiPriority w:val="0"/>
    <w:pPr>
      <w:adjustRightInd w:val="0"/>
      <w:spacing w:before="357" w:line="280" w:lineRule="exact"/>
    </w:pPr>
  </w:style>
  <w:style w:type="paragraph" w:customStyle="1" w:styleId="93">
    <w:name w:val="封面标准代替信息"/>
    <w:basedOn w:val="92"/>
    <w:qFormat/>
    <w:uiPriority w:val="0"/>
    <w:pPr>
      <w:spacing w:before="57"/>
    </w:pPr>
    <w:rPr>
      <w:rFonts w:ascii="宋体"/>
      <w:sz w:val="21"/>
    </w:rPr>
  </w:style>
  <w:style w:type="paragraph" w:customStyle="1" w:styleId="94">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95">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96">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97">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98">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99">
    <w:name w:val="封面正文"/>
    <w:qFormat/>
    <w:uiPriority w:val="0"/>
    <w:pPr>
      <w:jc w:val="both"/>
    </w:pPr>
    <w:rPr>
      <w:rFonts w:ascii="Times New Roman" w:hAnsi="Times New Roman" w:eastAsia="宋体" w:cs="Times New Roman"/>
      <w:lang w:val="en-US" w:eastAsia="zh-CN" w:bidi="ar-SA"/>
    </w:rPr>
  </w:style>
  <w:style w:type="paragraph" w:customStyle="1" w:styleId="100">
    <w:name w:val="附录标识"/>
    <w:basedOn w:val="78"/>
    <w:qFormat/>
    <w:uiPriority w:val="0"/>
    <w:pPr>
      <w:numPr>
        <w:ilvl w:val="0"/>
        <w:numId w:val="3"/>
      </w:numPr>
      <w:tabs>
        <w:tab w:val="left" w:pos="6405"/>
      </w:tabs>
      <w:spacing w:after="200"/>
    </w:pPr>
    <w:rPr>
      <w:sz w:val="21"/>
    </w:rPr>
  </w:style>
  <w:style w:type="paragraph" w:customStyle="1" w:styleId="101">
    <w:name w:val="附录表标题"/>
    <w:next w:val="59"/>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102">
    <w:name w:val="附录图标题"/>
    <w:next w:val="59"/>
    <w:qFormat/>
    <w:uiPriority w:val="0"/>
    <w:pPr>
      <w:jc w:val="center"/>
    </w:pPr>
    <w:rPr>
      <w:rFonts w:ascii="黑体" w:hAnsi="Times New Roman" w:eastAsia="黑体" w:cs="Times New Roman"/>
      <w:sz w:val="21"/>
      <w:lang w:val="en-US" w:eastAsia="zh-CN" w:bidi="ar-SA"/>
    </w:rPr>
  </w:style>
  <w:style w:type="paragraph" w:customStyle="1" w:styleId="103">
    <w:name w:val="列项——"/>
    <w:qFormat/>
    <w:uiPriority w:val="0"/>
    <w:pPr>
      <w:widowControl w:val="0"/>
      <w:numPr>
        <w:ilvl w:val="0"/>
        <w:numId w:val="5"/>
      </w:numPr>
      <w:tabs>
        <w:tab w:val="left" w:pos="854"/>
        <w:tab w:val="clear" w:pos="1140"/>
      </w:tabs>
      <w:ind w:left="200" w:leftChars="200" w:hanging="200" w:hangingChars="200"/>
      <w:jc w:val="both"/>
    </w:pPr>
    <w:rPr>
      <w:rFonts w:ascii="宋体" w:hAnsi="Times New Roman" w:eastAsia="宋体" w:cs="Times New Roman"/>
      <w:sz w:val="21"/>
      <w:lang w:val="en-US" w:eastAsia="zh-CN" w:bidi="ar-SA"/>
    </w:rPr>
  </w:style>
  <w:style w:type="paragraph" w:customStyle="1" w:styleId="104">
    <w:name w:val="列项·"/>
    <w:qFormat/>
    <w:uiPriority w:val="0"/>
    <w:pPr>
      <w:numPr>
        <w:ilvl w:val="0"/>
        <w:numId w:val="6"/>
      </w:numPr>
      <w:tabs>
        <w:tab w:val="left" w:pos="840"/>
        <w:tab w:val="clear" w:pos="1140"/>
      </w:tabs>
      <w:ind w:left="840" w:leftChars="200" w:hanging="420" w:hangingChars="200"/>
      <w:jc w:val="both"/>
    </w:pPr>
    <w:rPr>
      <w:rFonts w:ascii="宋体" w:hAnsi="Times New Roman" w:eastAsia="宋体" w:cs="Times New Roman"/>
      <w:sz w:val="21"/>
      <w:lang w:val="en-US" w:eastAsia="zh-CN" w:bidi="ar-SA"/>
    </w:rPr>
  </w:style>
  <w:style w:type="paragraph" w:customStyle="1" w:styleId="105">
    <w:name w:val="目次、标准名称标题"/>
    <w:basedOn w:val="78"/>
    <w:next w:val="59"/>
    <w:qFormat/>
    <w:uiPriority w:val="0"/>
    <w:pPr>
      <w:numPr>
        <w:numId w:val="0"/>
      </w:numPr>
      <w:spacing w:line="460" w:lineRule="exact"/>
    </w:pPr>
  </w:style>
  <w:style w:type="paragraph" w:customStyle="1" w:styleId="106">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07">
    <w:name w:val="三级无标题条"/>
    <w:basedOn w:val="1"/>
    <w:qFormat/>
    <w:uiPriority w:val="0"/>
    <w:pPr>
      <w:numPr>
        <w:ilvl w:val="4"/>
        <w:numId w:val="2"/>
      </w:numPr>
    </w:pPr>
  </w:style>
  <w:style w:type="paragraph" w:customStyle="1" w:styleId="108">
    <w:name w:val="数字编号列项（二级）"/>
    <w:qFormat/>
    <w:uiPriority w:val="0"/>
    <w:pPr>
      <w:ind w:left="1260" w:leftChars="400" w:hanging="420" w:hangingChars="200"/>
      <w:jc w:val="both"/>
    </w:pPr>
    <w:rPr>
      <w:rFonts w:ascii="宋体" w:hAnsi="Times New Roman" w:eastAsia="宋体" w:cs="Times New Roman"/>
      <w:sz w:val="21"/>
      <w:lang w:val="en-US" w:eastAsia="zh-CN" w:bidi="ar-SA"/>
    </w:rPr>
  </w:style>
  <w:style w:type="paragraph" w:customStyle="1" w:styleId="109">
    <w:name w:val="四级条标题"/>
    <w:basedOn w:val="80"/>
    <w:next w:val="59"/>
    <w:qFormat/>
    <w:uiPriority w:val="0"/>
    <w:pPr>
      <w:numPr>
        <w:ilvl w:val="5"/>
      </w:numPr>
      <w:outlineLvl w:val="5"/>
    </w:pPr>
  </w:style>
  <w:style w:type="paragraph" w:customStyle="1" w:styleId="110">
    <w:name w:val="四级无标题条"/>
    <w:basedOn w:val="1"/>
    <w:qFormat/>
    <w:uiPriority w:val="0"/>
    <w:pPr>
      <w:numPr>
        <w:ilvl w:val="5"/>
        <w:numId w:val="2"/>
      </w:numPr>
    </w:pPr>
  </w:style>
  <w:style w:type="paragraph" w:customStyle="1" w:styleId="111">
    <w:name w:val="条文脚注"/>
    <w:basedOn w:val="31"/>
    <w:qFormat/>
    <w:uiPriority w:val="0"/>
    <w:pPr>
      <w:ind w:left="780" w:leftChars="200" w:hanging="360" w:hangingChars="200"/>
      <w:jc w:val="both"/>
    </w:pPr>
    <w:rPr>
      <w:rFonts w:ascii="宋体"/>
    </w:rPr>
  </w:style>
  <w:style w:type="paragraph" w:customStyle="1" w:styleId="112">
    <w:name w:val="图表脚注"/>
    <w:next w:val="59"/>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113">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114">
    <w:name w:val="无标题条"/>
    <w:next w:val="59"/>
    <w:qFormat/>
    <w:uiPriority w:val="0"/>
    <w:pPr>
      <w:jc w:val="both"/>
    </w:pPr>
    <w:rPr>
      <w:rFonts w:ascii="Times New Roman" w:hAnsi="Times New Roman" w:eastAsia="宋体" w:cs="Times New Roman"/>
      <w:sz w:val="21"/>
      <w:lang w:val="en-US" w:eastAsia="zh-CN" w:bidi="ar-SA"/>
    </w:rPr>
  </w:style>
  <w:style w:type="paragraph" w:customStyle="1" w:styleId="115">
    <w:name w:val="五级条标题"/>
    <w:basedOn w:val="109"/>
    <w:next w:val="59"/>
    <w:qFormat/>
    <w:uiPriority w:val="0"/>
    <w:pPr>
      <w:numPr>
        <w:ilvl w:val="6"/>
      </w:numPr>
      <w:outlineLvl w:val="6"/>
    </w:pPr>
  </w:style>
  <w:style w:type="paragraph" w:customStyle="1" w:styleId="116">
    <w:name w:val="五级无标题条"/>
    <w:basedOn w:val="1"/>
    <w:qFormat/>
    <w:uiPriority w:val="0"/>
    <w:pPr>
      <w:numPr>
        <w:ilvl w:val="6"/>
        <w:numId w:val="2"/>
      </w:numPr>
    </w:pPr>
  </w:style>
  <w:style w:type="paragraph" w:customStyle="1" w:styleId="117">
    <w:name w:val="一级无标题条"/>
    <w:basedOn w:val="1"/>
    <w:qFormat/>
    <w:uiPriority w:val="0"/>
  </w:style>
  <w:style w:type="paragraph" w:customStyle="1" w:styleId="118">
    <w:name w:val="正文表标题"/>
    <w:next w:val="59"/>
    <w:qFormat/>
    <w:uiPriority w:val="0"/>
    <w:pPr>
      <w:numPr>
        <w:ilvl w:val="0"/>
        <w:numId w:val="7"/>
      </w:numPr>
      <w:jc w:val="center"/>
    </w:pPr>
    <w:rPr>
      <w:rFonts w:ascii="黑体" w:hAnsi="Times New Roman" w:eastAsia="黑体" w:cs="Times New Roman"/>
      <w:sz w:val="21"/>
      <w:lang w:val="en-US" w:eastAsia="zh-CN" w:bidi="ar-SA"/>
    </w:rPr>
  </w:style>
  <w:style w:type="paragraph" w:customStyle="1" w:styleId="119">
    <w:name w:val="正文图标题"/>
    <w:next w:val="59"/>
    <w:qFormat/>
    <w:uiPriority w:val="0"/>
    <w:pPr>
      <w:numPr>
        <w:ilvl w:val="0"/>
        <w:numId w:val="8"/>
      </w:numPr>
      <w:jc w:val="center"/>
    </w:pPr>
    <w:rPr>
      <w:rFonts w:ascii="黑体" w:hAnsi="Times New Roman" w:eastAsia="黑体" w:cs="Times New Roman"/>
      <w:sz w:val="21"/>
      <w:lang w:val="en-US" w:eastAsia="zh-CN" w:bidi="ar-SA"/>
    </w:rPr>
  </w:style>
  <w:style w:type="paragraph" w:customStyle="1" w:styleId="120">
    <w:name w:val="注："/>
    <w:next w:val="59"/>
    <w:qFormat/>
    <w:uiPriority w:val="0"/>
    <w:pPr>
      <w:widowControl w:val="0"/>
      <w:numPr>
        <w:ilvl w:val="0"/>
        <w:numId w:val="9"/>
      </w:numPr>
      <w:tabs>
        <w:tab w:val="clear" w:pos="1140"/>
      </w:tabs>
      <w:autoSpaceDE w:val="0"/>
      <w:autoSpaceDN w:val="0"/>
      <w:jc w:val="both"/>
    </w:pPr>
    <w:rPr>
      <w:rFonts w:ascii="宋体" w:hAnsi="Times New Roman" w:eastAsia="宋体" w:cs="Times New Roman"/>
      <w:sz w:val="18"/>
      <w:lang w:val="en-US" w:eastAsia="zh-CN" w:bidi="ar-SA"/>
    </w:rPr>
  </w:style>
  <w:style w:type="paragraph" w:customStyle="1" w:styleId="121">
    <w:name w:val="注×："/>
    <w:qFormat/>
    <w:uiPriority w:val="0"/>
    <w:pPr>
      <w:widowControl w:val="0"/>
      <w:numPr>
        <w:ilvl w:val="0"/>
        <w:numId w:val="10"/>
      </w:numPr>
      <w:tabs>
        <w:tab w:val="left" w:pos="630"/>
        <w:tab w:val="clear" w:pos="900"/>
      </w:tabs>
      <w:autoSpaceDE w:val="0"/>
      <w:autoSpaceDN w:val="0"/>
      <w:jc w:val="both"/>
    </w:pPr>
    <w:rPr>
      <w:rFonts w:ascii="宋体" w:hAnsi="Times New Roman" w:eastAsia="宋体" w:cs="Times New Roman"/>
      <w:sz w:val="18"/>
      <w:lang w:val="en-US" w:eastAsia="zh-CN" w:bidi="ar-SA"/>
    </w:rPr>
  </w:style>
  <w:style w:type="paragraph" w:customStyle="1" w:styleId="122">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paragraph" w:customStyle="1" w:styleId="123">
    <w:name w:val="Char Char Char Char Char Char1"/>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24">
    <w:name w:val="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25">
    <w:name w:val="_Style 123"/>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6">
    <w:name w:val="修订1"/>
    <w:hidden/>
    <w:semiHidden/>
    <w:qFormat/>
    <w:uiPriority w:val="99"/>
    <w:rPr>
      <w:rFonts w:ascii="Times New Roman" w:hAnsi="Times New Roman" w:eastAsia="宋体" w:cs="Times New Roman"/>
      <w:kern w:val="2"/>
      <w:sz w:val="21"/>
      <w:lang w:val="en-US" w:eastAsia="zh-CN" w:bidi="ar-SA"/>
    </w:rPr>
  </w:style>
  <w:style w:type="paragraph" w:customStyle="1" w:styleId="127">
    <w:name w:val="列出段落1"/>
    <w:basedOn w:val="1"/>
    <w:qFormat/>
    <w:uiPriority w:val="0"/>
    <w:pPr>
      <w:ind w:firstLine="420" w:firstLineChars="200"/>
    </w:pPr>
    <w:rPr>
      <w:rFonts w:ascii="Calibri" w:hAnsi="Calibri"/>
      <w:szCs w:val="22"/>
    </w:rPr>
  </w:style>
  <w:style w:type="character" w:customStyle="1" w:styleId="128">
    <w:name w:val="批注文字 Char"/>
    <w:basedOn w:val="40"/>
    <w:link w:val="21"/>
    <w:semiHidden/>
    <w:qFormat/>
    <w:uiPriority w:val="0"/>
    <w:rPr>
      <w:kern w:val="2"/>
      <w:sz w:val="21"/>
    </w:rPr>
  </w:style>
  <w:style w:type="paragraph" w:customStyle="1" w:styleId="129">
    <w:name w:val="列出段落2"/>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package" Target="embeddings/Microsoft_Visio___1.vsdx"/><Relationship Id="rId8" Type="http://schemas.openxmlformats.org/officeDocument/2006/relationships/image" Target="media/image1.emf"/><Relationship Id="rId7" Type="http://schemas.openxmlformats.org/officeDocument/2006/relationships/oleObject" Target="embeddings/oleObject1.bin"/><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image" Target="media/image3.emf"/><Relationship Id="rId11" Type="http://schemas.openxmlformats.org/officeDocument/2006/relationships/package" Target="embeddings/Microsoft_Visio___2.vsdx"/><Relationship Id="rId10" Type="http://schemas.openxmlformats.org/officeDocument/2006/relationships/image" Target="media/image2.emf"/><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中国标准研究中心</Company>
  <Pages>7</Pages>
  <Words>561</Words>
  <Characters>3203</Characters>
  <Lines>26</Lines>
  <Paragraphs>7</Paragraphs>
  <TotalTime>8</TotalTime>
  <ScaleCrop>false</ScaleCrop>
  <LinksUpToDate>false</LinksUpToDate>
  <CharactersWithSpaces>3757</CharactersWithSpaces>
  <Application>WPS Office_12.1.26046.26046_F1E327BC-269C-435d-A152-05C5408002CA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2018-06-07T17:29:00Z</dcterms:created>
  <dc:creator>USER</dc:creator>
  <cp:lastModifiedBy>sasa</cp:lastModifiedBy>
  <cp:lastPrinted>2015-09-09T14:55:00Z</cp:lastPrinted>
  <dcterms:modified xsi:type="dcterms:W3CDTF">2026-11-03T20:13:45Z</dcterms:modified>
  <dc:title>小蔗螟检疫鉴定方法</dc:title>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2052-12.1.26046.26046</vt:lpwstr>
  </property>
  <property fmtid="{D5CDD505-2E9C-101B-9397-08002B2CF9AE}" pid="3" name="ICV">
    <vt:lpwstr>E9A5FC1547CF4F31AD782E8F7F1B8B91_13</vt:lpwstr>
  </property>
</Properties>
</file>